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textAlignment w:val="center"/>
        <w:rPr>
          <w:rFonts w:hint="default" w:ascii="Times New Roman" w:hAnsi="Times New Roman" w:eastAsia="楷体" w:cs="Times New Roman"/>
          <w:b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11912600</wp:posOffset>
            </wp:positionH>
            <wp:positionV relativeFrom="topMargin">
              <wp:posOffset>12014200</wp:posOffset>
            </wp:positionV>
            <wp:extent cx="342900" cy="317500"/>
            <wp:effectExtent l="0" t="0" r="0" b="635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/>
          <w:sz w:val="32"/>
          <w:szCs w:val="32"/>
        </w:rPr>
        <w:t>2024届新高三开学摸底考试卷</w:t>
      </w:r>
      <w:r>
        <w:rPr>
          <w:rFonts w:hint="default" w:ascii="Times New Roman" w:hAnsi="Times New Roman" w:eastAsia="楷体" w:cs="Times New Roman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11087100</wp:posOffset>
            </wp:positionV>
            <wp:extent cx="355600" cy="342900"/>
            <wp:effectExtent l="0" t="0" r="0" b="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/>
          <w:sz w:val="32"/>
          <w:szCs w:val="32"/>
        </w:rPr>
        <w:t>（新高考</w:t>
      </w:r>
      <w:r>
        <w:rPr>
          <w:rFonts w:hint="eastAsia" w:eastAsia="楷体" w:cs="Times New Roman"/>
          <w:b/>
          <w:sz w:val="32"/>
          <w:szCs w:val="32"/>
          <w:lang w:val="en-US" w:eastAsia="zh-CN"/>
        </w:rPr>
        <w:t>通</w:t>
      </w:r>
      <w:r>
        <w:rPr>
          <w:rFonts w:hint="default" w:ascii="Times New Roman" w:hAnsi="Times New Roman" w:eastAsia="楷体" w:cs="Times New Roman"/>
          <w:b/>
          <w:sz w:val="32"/>
          <w:szCs w:val="32"/>
        </w:rPr>
        <w:t>用）01</w:t>
      </w:r>
    </w:p>
    <w:p>
      <w:pPr>
        <w:adjustRightInd w:val="0"/>
        <w:spacing w:line="360" w:lineRule="auto"/>
        <w:jc w:val="center"/>
        <w:textAlignment w:val="center"/>
        <w:rPr>
          <w:rFonts w:hint="default" w:ascii="Times New Roman" w:hAnsi="Times New Roman" w:eastAsia="楷体" w:cs="Times New Roman"/>
          <w:b/>
          <w:sz w:val="36"/>
          <w:szCs w:val="36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sz w:val="36"/>
          <w:szCs w:val="36"/>
          <w:lang w:val="en-US" w:eastAsia="zh-CN"/>
        </w:rPr>
        <w:t>地</w:t>
      </w:r>
      <w:r>
        <w:rPr>
          <w:rFonts w:hint="default" w:ascii="Times New Roman" w:hAnsi="Times New Roman" w:eastAsia="楷体" w:cs="Times New Roman"/>
          <w:b/>
          <w:sz w:val="36"/>
          <w:szCs w:val="36"/>
        </w:rPr>
        <w:t xml:space="preserve">     </w:t>
      </w:r>
      <w:r>
        <w:rPr>
          <w:rFonts w:hint="default" w:ascii="Times New Roman" w:hAnsi="Times New Roman" w:eastAsia="楷体" w:cs="Times New Roman"/>
          <w:b/>
          <w:sz w:val="36"/>
          <w:szCs w:val="36"/>
          <w:lang w:val="en-US" w:eastAsia="zh-CN"/>
        </w:rPr>
        <w:t>理</w:t>
      </w:r>
    </w:p>
    <w:p>
      <w:pPr>
        <w:adjustRightInd w:val="0"/>
        <w:spacing w:line="360" w:lineRule="auto"/>
        <w:jc w:val="center"/>
        <w:textAlignment w:val="center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（考试时间：</w:t>
      </w:r>
      <w:r>
        <w:rPr>
          <w:rFonts w:hint="default" w:ascii="Times New Roman" w:hAnsi="Times New Roman" w:cs="Times New Roman"/>
          <w:bCs/>
          <w:kern w:val="0"/>
          <w:szCs w:val="21"/>
          <w:lang w:val="en-US" w:eastAsia="zh-CN"/>
        </w:rPr>
        <w:t>90</w:t>
      </w:r>
      <w:r>
        <w:rPr>
          <w:rFonts w:hint="default" w:ascii="Times New Roman" w:hAnsi="Times New Roman" w:cs="Times New Roman"/>
          <w:bCs/>
          <w:kern w:val="0"/>
          <w:szCs w:val="21"/>
        </w:rPr>
        <w:t>分钟  试卷满分：1</w:t>
      </w:r>
      <w:r>
        <w:rPr>
          <w:rFonts w:hint="default" w:ascii="Times New Roman" w:hAnsi="Times New Roman" w:cs="Times New Roman"/>
          <w:bCs/>
          <w:kern w:val="0"/>
          <w:szCs w:val="21"/>
          <w:lang w:val="en-US" w:eastAsia="zh-CN"/>
        </w:rPr>
        <w:t>0</w:t>
      </w:r>
      <w:r>
        <w:rPr>
          <w:rFonts w:hint="default" w:ascii="Times New Roman" w:hAnsi="Times New Roman" w:cs="Times New Roman"/>
          <w:bCs/>
          <w:kern w:val="0"/>
          <w:szCs w:val="21"/>
        </w:rPr>
        <w:t>0分）</w:t>
      </w:r>
    </w:p>
    <w:p>
      <w:pPr>
        <w:tabs>
          <w:tab w:val="left" w:pos="2551"/>
          <w:tab w:val="left" w:pos="4677"/>
          <w:tab w:val="left" w:pos="6803"/>
        </w:tabs>
        <w:spacing w:line="360" w:lineRule="auto"/>
        <w:ind w:left="1365" w:hanging="1365" w:hangingChars="650"/>
        <w:textAlignment w:val="center"/>
        <w:rPr>
          <w:rFonts w:hint="default" w:ascii="Times New Roman" w:hAnsi="Times New Roman" w:cs="Times New Roman"/>
          <w:bCs/>
          <w:snapToGrid w:val="0"/>
          <w:kern w:val="0"/>
          <w:szCs w:val="21"/>
        </w:rPr>
      </w:pPr>
      <w:r>
        <w:rPr>
          <w:rFonts w:hint="default" w:ascii="Times New Roman" w:hAnsi="Times New Roman" w:cs="Times New Roman"/>
          <w:bCs/>
          <w:snapToGrid w:val="0"/>
          <w:kern w:val="0"/>
          <w:szCs w:val="21"/>
        </w:rPr>
        <w:t>注意事项：</w:t>
      </w:r>
    </w:p>
    <w:p>
      <w:pPr>
        <w:tabs>
          <w:tab w:val="left" w:pos="2551"/>
          <w:tab w:val="left" w:pos="4677"/>
          <w:tab w:val="left" w:pos="6803"/>
        </w:tabs>
        <w:spacing w:line="360" w:lineRule="auto"/>
        <w:ind w:firstLine="424" w:firstLineChars="202"/>
        <w:textAlignment w:val="center"/>
        <w:rPr>
          <w:rFonts w:hint="default" w:ascii="Times New Roman" w:hAnsi="Times New Roman" w:cs="Times New Roman"/>
          <w:bCs/>
          <w:snapToGrid w:val="0"/>
          <w:kern w:val="0"/>
          <w:szCs w:val="21"/>
        </w:rPr>
      </w:pPr>
      <w:r>
        <w:rPr>
          <w:rFonts w:hint="default" w:ascii="Times New Roman" w:hAnsi="Times New Roman" w:cs="Times New Roman"/>
          <w:bCs/>
          <w:snapToGrid w:val="0"/>
          <w:kern w:val="0"/>
          <w:szCs w:val="21"/>
        </w:rPr>
        <w:t>1．答卷前，考生务必将自己的姓名、考生号等填写在答题卡和试卷指定位置上。</w:t>
      </w:r>
    </w:p>
    <w:p>
      <w:pPr>
        <w:tabs>
          <w:tab w:val="left" w:pos="2551"/>
          <w:tab w:val="left" w:pos="4677"/>
          <w:tab w:val="left" w:pos="6803"/>
        </w:tabs>
        <w:spacing w:line="360" w:lineRule="auto"/>
        <w:ind w:firstLine="424" w:firstLineChars="202"/>
        <w:textAlignment w:val="center"/>
        <w:rPr>
          <w:rFonts w:hint="default" w:ascii="Times New Roman" w:hAnsi="Times New Roman" w:cs="Times New Roman"/>
          <w:bCs/>
          <w:snapToGrid w:val="0"/>
          <w:kern w:val="0"/>
          <w:szCs w:val="21"/>
        </w:rPr>
      </w:pPr>
      <w:r>
        <w:rPr>
          <w:rFonts w:hint="default" w:ascii="Times New Roman" w:hAnsi="Times New Roman" w:cs="Times New Roman"/>
          <w:bCs/>
          <w:snapToGrid w:val="0"/>
          <w:kern w:val="0"/>
          <w:szCs w:val="21"/>
        </w:rPr>
        <w:t>2．回答选择题时，选出每小题答案后，用铅笔把答题卡对应题目的答案标号涂黑。如需改动，用橡皮擦干净后，再选涂其他答案标号。回答非选择题时，将答案写在答题卡上。写在本试卷上无效。</w:t>
      </w:r>
    </w:p>
    <w:p>
      <w:pPr>
        <w:tabs>
          <w:tab w:val="left" w:pos="2551"/>
          <w:tab w:val="left" w:pos="4677"/>
          <w:tab w:val="left" w:pos="6803"/>
        </w:tabs>
        <w:spacing w:line="360" w:lineRule="auto"/>
        <w:ind w:firstLine="424" w:firstLineChars="202"/>
        <w:textAlignment w:val="center"/>
        <w:rPr>
          <w:rFonts w:hint="default" w:ascii="Times New Roman" w:hAnsi="Times New Roman" w:cs="Times New Roman"/>
          <w:bCs/>
          <w:snapToGrid w:val="0"/>
          <w:kern w:val="0"/>
          <w:szCs w:val="21"/>
        </w:rPr>
      </w:pPr>
      <w:r>
        <w:rPr>
          <w:rFonts w:hint="default" w:ascii="Times New Roman" w:hAnsi="Times New Roman" w:cs="Times New Roman"/>
          <w:bCs/>
          <w:snapToGrid w:val="0"/>
          <w:kern w:val="0"/>
          <w:szCs w:val="21"/>
        </w:rPr>
        <w:t>3．考试结束后，将本试卷和答题卡一并交回。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i w:val="0"/>
          <w:sz w:val="21"/>
        </w:rPr>
        <w:t>一、选择题</w:t>
      </w:r>
      <w:r>
        <w:rPr>
          <w:rFonts w:hint="default" w:ascii="Times New Roman" w:hAnsi="Times New Roman" w:cs="Times New Roman"/>
          <w:b/>
          <w:i w:val="0"/>
          <w:sz w:val="21"/>
          <w:lang w:eastAsia="zh-CN"/>
        </w:rPr>
        <w:t>：</w:t>
      </w:r>
      <w:r>
        <w:rPr>
          <w:rFonts w:hint="eastAsia" w:cs="Times New Roman"/>
          <w:b/>
          <w:i w:val="0"/>
          <w:sz w:val="21"/>
          <w:lang w:val="en-US" w:eastAsia="zh-CN"/>
        </w:rPr>
        <w:t>（</w:t>
      </w:r>
      <w:r>
        <w:rPr>
          <w:rFonts w:hint="default" w:ascii="Times New Roman" w:hAnsi="Times New Roman" w:cs="Times New Roman"/>
          <w:b/>
          <w:i w:val="0"/>
          <w:sz w:val="21"/>
          <w:lang w:val="en-US" w:eastAsia="zh-CN"/>
        </w:rPr>
        <w:t>共16题，每题3分，共48分。每题只有一个选项符合题目要求</w:t>
      </w:r>
      <w:r>
        <w:rPr>
          <w:rFonts w:hint="eastAsia" w:cs="Times New Roman"/>
          <w:b/>
          <w:i w:val="0"/>
          <w:sz w:val="21"/>
          <w:lang w:val="en-US" w:eastAsia="zh-CN"/>
        </w:rPr>
        <w:t>）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城市休闲商务区（简称为RBD）是由纪念品商店、旅游吸引物、餐馆、小吃摊档等高度集中而形成的城市零售商业区。作为城市重要的游憩空间，RBD为外来游客和城市居民提供休闲消费的场所。下图示意北京市不同规模的RBD分布特征，据此完成下面小题，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09900" cy="2631440"/>
            <wp:effectExtent l="0" t="0" r="0" b="16510"/>
            <wp:docPr id="100003" name="图片 100003" descr="@@@96717717-32c8-4319-a81f-ac8a59643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6717717-32c8-4319-a81f-ac8a59643e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1．影响北京RBD分布特征的因素有（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①交通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②景点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③人口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④地价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A．①②③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B．①②④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C．①③④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D．①②③④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2．RBD与CBD有一定的重合性，其重合位置一般位于城市的（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A．交通干线交汇处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B．城市中心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C．城区外围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D．规划区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2022年5月30日，浙江温岭江厦潮光互补智能电站（左图）实现全容量并网发电。该项目依托我国最大的温岭江厦潮汐发电站（右图），施工带位于水深仅为0.6～1米深的滩涂地带，施工人员在2000亩水面上安装18.5万块光伏发电组件，采用船只作业，建设初期每日施工窗口期仅为3个小时。该电站是我国首座潮光互补型发电站，标志着我国新能源利用再上新台阶。据此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66925" cy="2619375"/>
            <wp:effectExtent l="0" t="0" r="9525" b="9525"/>
            <wp:docPr id="100005" name="图片 100005" descr="@@@0053ce6c-a956-4b5a-9330-536a35122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053ce6c-a956-4b5a-9330-536a351220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02250" cy="2077085"/>
            <wp:effectExtent l="0" t="0" r="12700" b="18415"/>
            <wp:docPr id="100007" name="图片 100007" descr="@@@b7f54c20-af40-419b-a525-b5cac54ad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b7f54c20-af40-419b-a525-b5cac54ad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3．与图中A地相比，江厦潮汐发电站选址在B地的主要原因是B地（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A．海湾封闭，适宜存水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B．受冬季风影响小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C．海湾较窄，工程量小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D．浅海滩涂面积大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4．该光伏电站建设初期每日施工窗口期较短的主要原因是（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A．海水腐蚀性强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B．材料运输困难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C．台风灾害多发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D．夏季降水集中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5．下列时间中，浙江温岭江厦潮光互补智能电站发电量最大的是（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A．3月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B．6月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C．8月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D．11月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肯尼亚山是一座横跨赤道的死火山，海拔5199米，高耸在东非大裂谷东侧。中国与肯尼亚的科学家联合对肯尼亚山的生物多样性进行了研究。近年来，肯尼亚山山顶冰川大量萎缩，预计20～30年后会消失殆尽。下图示意肯尼亚山的位置、肯尼亚山植被带平面分布及垂直剖面。据此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28540" cy="2136775"/>
            <wp:effectExtent l="0" t="0" r="10160" b="15875"/>
            <wp:docPr id="100009" name="图片 100009" descr="@@@69c7edf487fe4f819049b39781f1e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69c7edf487fe4f819049b39781f1e7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6．图中自然带（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A．基带为森林带，受赤道低压带控制降水多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B．低海拔潮湿森林带位于东南侧迎风坡降水多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C．随着海拔升高植被分布的坡向差异逐渐增大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D．东南坡垂直带谱多于北坡，人类活动干扰少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7．肯尼亚冰川消失殆尽会导致（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A．山顶昼夜温差变小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B．山坡谷风增强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C．山麓河流水量增加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D．山麓演变成荒漠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海洋温差能是利用海洋水温差进行发电而获得的能量。温跃层是冷暖海水交界处，温度急剧变化，两侧海水密度差异明显。图为四个季节季节性温跃层分布图。据此完成下面小题。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46750" cy="1899285"/>
            <wp:effectExtent l="0" t="0" r="6350" b="5715"/>
            <wp:docPr id="100011" name="图片 100011" descr="@@@1f8b7148-59fc-445b-a18a-1ea3b659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f8b7148-59fc-445b-a18a-1ea3b65988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8．海洋温差能发电效率最高的是（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①低纬度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②高纬度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③海面下1000米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④海面下100米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B．②④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C．①④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D．②③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9．影响季节性温跃层形成的因素主要是（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A．海水颜色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B．海水运动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C．海水密度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D．海水盐度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黄河下游河床由于泥沙淤积，在大堤的束缚下不断抬高形成地上悬河。某悬河段两岸农民曾在主河槽两侧自发加建新堤。下图为该悬河段横断面示意图。据此完成下面小题。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20820" cy="1679575"/>
            <wp:effectExtent l="0" t="0" r="17780" b="15875"/>
            <wp:docPr id="5" name="图片 5" descr="@@@c403386e-9beb-4db2-8cf8-e373a37c3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c403386e-9beb-4db2-8cf8-e373a37c3e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10．农民在大堤内自发加建新堤的主要目的是（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A．增加流速，提高河段冲淤能力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B．减少水流对黄河大堤的冲刷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C．促进泥沙淤积，提高土壤肥力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D．扩大耕地面积，提高经济收入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11．自建堤可能导致该河段（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A．洪水发生频率增加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B．河道摆动更加频繁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C．大堤冲决风险减小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D．形成新一级的悬河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某科研机构在我国西北内陆绿洲灌溉区，开展灌溉农田水盐动态变化综合观测实验。下图中的曲线示意膜下滴灌、大水漫灌、膜下滴灌组合非生育期冬灌、膜下滴灌组合非生育期春灌4种灌溉方式的土壤盐分含量年变化。据此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54555"/>
            <wp:effectExtent l="0" t="0" r="6985" b="4445"/>
            <wp:docPr id="100015" name="图片 100015" descr="@@@b6f44def-ba0a-4ce0-87b7-0a3a1df70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b6f44def-ba0a-4ce0-87b7-0a3a1df702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12．图中表示膜下滴灌土壤盐分含量年变化曲线的是（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D．④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13．实验发现膜下滴灌组合非生育期春灌的淋盐深度有限，主要是因为（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A．春季升温快多大风，蒸发量大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B．春季地下水水位高，下渗水量少</w:t>
      </w:r>
    </w:p>
    <w:p>
      <w:pPr>
        <w:shd w:val="clear" w:color="auto" w:fill="FFFFFF"/>
        <w:tabs>
          <w:tab w:val="left" w:pos="4156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C．深层土壤解冻晚，下渗水量少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D．春灌用水量少，影响灌溉效果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林奈（Linnaeus，Carolus）是瑞典著名的植物学家，在其居住的城市（约59.9°N，17.6°E）培植了一座 “花钟”，这些花在二十四小时内陆续开放，只要看看什么花刚刚开放，就知道大致是几点钟。但瑞典“花钟”在北京“报告”时间时，却存在误差。据图文资料，完成下面小题。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38145" cy="2035810"/>
            <wp:effectExtent l="0" t="0" r="14605" b="2540"/>
            <wp:docPr id="100017" name="图片 100017" descr="@@@412c9b38-31ee-47a7-80d4-61ca48282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412c9b38-31ee-47a7-80d4-61ca48282d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01645" cy="2009775"/>
            <wp:effectExtent l="0" t="0" r="8255" b="9525"/>
            <wp:docPr id="100019" name="图片 100019" descr="@@@9ddb6b7e-cc01-4d35-992e-49915fef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ddb6b7e-cc01-4d35-992e-49915fef33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14．北京的“午时花”刚盛开时（夏季正午开花），“林奈花钟”上正在开花的是（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A．鹅肠菜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B．野蔷薇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C．芍药花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D．半枝莲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15．“林奈花钟”报时误差产生的主要原因是（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①昼夜长短 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 xml:space="preserve">②温差大小 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 xml:space="preserve">③地域差异 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④地质构造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B．①③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C．②③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D．③④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16．甜万寿菊是一种短日照花卉，花期最为适宜的日照时长是每天低于10.5小时，适宜温度是18～20℃。如果北京引种该花卉，自然状态下，下列节气中最可能欣赏到花开的是（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A．立春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B．芒种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C．立秋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D．寒露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i w:val="0"/>
          <w:sz w:val="21"/>
        </w:rPr>
        <w:t>二、综合题</w:t>
      </w:r>
      <w:r>
        <w:rPr>
          <w:rFonts w:hint="default" w:ascii="Times New Roman" w:hAnsi="Times New Roman" w:cs="Times New Roman"/>
          <w:b/>
          <w:i w:val="0"/>
          <w:sz w:val="21"/>
          <w:lang w:eastAsia="zh-CN"/>
        </w:rPr>
        <w:t>：</w:t>
      </w:r>
      <w:r>
        <w:rPr>
          <w:rFonts w:hint="default" w:ascii="Times New Roman" w:hAnsi="Times New Roman" w:cs="Times New Roman"/>
          <w:b/>
          <w:i w:val="0"/>
          <w:sz w:val="21"/>
          <w:lang w:val="en-US" w:eastAsia="zh-CN"/>
        </w:rPr>
        <w:t>共52分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17．阅读图文资料，完成下列要求。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16分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坡积裙是披覆在坡凳上的坡面片流地貌，堆积物上部薄，下部厚，纵剖面呈下凹形。坡面片流侵蚀能力和坡长、坡度、坡面径流、植被、土壤、人类活动有关，且坡长、坡度和坡面片流侵蚀之间存在着辩证关系。下图是相同大气降水强度和不同坡度之间关系的示意图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76475" cy="2381250"/>
            <wp:effectExtent l="0" t="0" r="9525" b="6350"/>
            <wp:docPr id="100021" name="图片 100021" descr="@@@ded81f81-6a3d-499a-818f-611a1a89e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ded81f81-6a3d-499a-818f-611a1a89ed1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1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描述坡积裙，“裙”状地貌的形成过程。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2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根据材料描述，用“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295275"/>
            <wp:effectExtent l="0" t="0" r="9525" b="9525"/>
            <wp:docPr id="100023" name="图片 100023" descr="@@@176577fe-7f42-4ae8-a563-2bd3e82f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76577fe-7f42-4ae8-a563-2bd3e82f58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”在答题卡相应图中画出坡积裙的纵向剖面示意图。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3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据图分析坡面侵蚀强度与坡度之间的辩证关系。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4分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18．阅读图文材料，完成下列要求。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18分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2022年2月，北京冬奥会雪上项目在河北省张家口市万龙滑雪场举行。万龙滑雪场赛道以人工造雪为主，对造雪需求量大。中科院院士领衔的科研团队选择在甲地开展造雪、储雪实验，历时五年攻克高效储雪技术，实现北京冬奥“用雪自由”，也推动“后冬奥时代”的大众滑雪运动。下图示意万龙滑雪场（局部）地理事物分布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29130"/>
            <wp:effectExtent l="0" t="0" r="6985" b="1270"/>
            <wp:docPr id="100031" name="图片 100031" descr="@@@e3371edf-2922-4c48-80f5-caaf47dee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e3371edf-2922-4c48-80f5-caaf47deee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1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与挪威冬奥会滑雪场相比，分析万龙滑雪场冬奥会期间对人工造雪需求量大的气候原因。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2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分析科研团队选择在甲地开展造雪、储雪实验的主要原因。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3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说明高效储雪技术对万龙滑雪场开展大众滑雪运动所起的作用。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19．阅读图文材料，完成下列要求。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18分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Y乳业公司是华南地区首屈一指的乳制品企业集团，形成了独具特色的一体化全产业链。公司高度重视奶源基地建设，在省内拥有12家远离城市的大型牧场，拥有自己的规模化专业冷链运输车队。牛奶挤出后会快速制冷并在当天交售到工厂进行加工生产，产品之一的低温奶储存运输全程冷链，温控要求严格，深受消费者喜爱。近几年Y乳业借助新兴网络社交平台，开展多场景多维度的营销，电商渠道低温奶的销量快速增长。下图示意Y乳业全产业链和冷链物流产业链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71950" cy="2733675"/>
            <wp:effectExtent l="0" t="0" r="6350" b="9525"/>
            <wp:docPr id="100033" name="图片 100033" descr="@@@8bc055a1-a351-4727-a4d6-abb21f288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8bc055a1-a351-4727-a4d6-abb21f2885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76700" cy="1571625"/>
            <wp:effectExtent l="0" t="0" r="0" b="3175"/>
            <wp:docPr id="100035" name="图片 100035" descr="@@@c4c774bb-4e65-479c-9c57-3c308268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4c774bb-4e65-479c-9c57-3c30826815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1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简析该公司奶源品质高的主要区位因素。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2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分析该公司低温奶在电商渠道销量快速增长的原因。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 w:cs="Times New Roman"/>
          <w:lang w:eastAsia="zh-CN"/>
        </w:rPr>
        <w:t>（</w:t>
      </w:r>
      <w:r>
        <w:rPr>
          <w:rFonts w:hint="default" w:ascii="Times New Roman" w:hAnsi="Times New Roman" w:cs="Times New Roman"/>
        </w:rPr>
        <w:t>3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Y乳业公司于2020年获得工业和信息化部颁发的“国家绿色工厂”荣誉，试推测该公司为实现碳减排所采取的措施。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6分</w:t>
      </w:r>
      <w:r>
        <w:rPr>
          <w:rFonts w:hint="default" w:ascii="Times New Roman" w:hAnsi="Times New Roman" w:cs="Times New Roman"/>
          <w:lang w:eastAsia="zh-CN"/>
        </w:rPr>
        <w:t>）</w:t>
      </w:r>
      <w:bookmarkStart w:id="0" w:name="_GoBack"/>
      <w:bookmarkEnd w:id="0"/>
    </w:p>
    <w:sectPr>
      <w:headerReference r:id="rId3" w:type="default"/>
      <w:footerReference r:id="rId4" w:type="default"/>
      <w:pgSz w:w="11907" w:h="16839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2055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6" o:spid="_x0000_s2056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7" o:spid="_x0000_s2057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025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00C806B0"/>
    <w:rsid w:val="00043B54"/>
    <w:rsid w:val="00175B61"/>
    <w:rsid w:val="001D7A06"/>
    <w:rsid w:val="00245038"/>
    <w:rsid w:val="00284433"/>
    <w:rsid w:val="002A1EC6"/>
    <w:rsid w:val="002E035E"/>
    <w:rsid w:val="004151FC"/>
    <w:rsid w:val="00464649"/>
    <w:rsid w:val="006B16C5"/>
    <w:rsid w:val="007A3694"/>
    <w:rsid w:val="00B17D1C"/>
    <w:rsid w:val="00B82D1B"/>
    <w:rsid w:val="00BF535F"/>
    <w:rsid w:val="00C02FC6"/>
    <w:rsid w:val="00C806B0"/>
    <w:rsid w:val="00D8327B"/>
    <w:rsid w:val="00EF035E"/>
    <w:rsid w:val="02013C30"/>
    <w:rsid w:val="0F6C7A94"/>
    <w:rsid w:val="18E524C2"/>
    <w:rsid w:val="22332EB7"/>
    <w:rsid w:val="329A3B20"/>
    <w:rsid w:val="3ACB2C69"/>
    <w:rsid w:val="482F780A"/>
    <w:rsid w:val="4B1C7FA5"/>
    <w:rsid w:val="6FA2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7B75232B38-A165-1FB7-499C-2E1C792CACB5%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7B75232B38-A165-1FB7-499C-2E1C792CACB5%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4"/>
    <customShpInfo spid="_x0000_s2055"/>
    <customShpInfo spid="_x0000_s2056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2863</Words>
  <Characters>2957</Characters>
  <Lines>164</Lines>
  <Paragraphs>46</Paragraphs>
  <TotalTime>0</TotalTime>
  <ScaleCrop>false</ScaleCrop>
  <LinksUpToDate>false</LinksUpToDate>
  <CharactersWithSpaces>3079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じòぴé</cp:lastModifiedBy>
  <dcterms:modified xsi:type="dcterms:W3CDTF">2023-07-23T09:31:30Z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3E1DDA0AA60241C6A807D5E3CAE645E5_12</vt:lpwstr>
  </property>
</Properties>
</file>