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4E" w:rsidRDefault="0086014E" w:rsidP="0086014E">
      <w:pPr>
        <w:jc w:val="center"/>
        <w:rPr>
          <w:rFonts w:hint="eastAsia"/>
          <w:b/>
        </w:rPr>
      </w:pPr>
      <w:bookmarkStart w:id="0" w:name="_GoBack"/>
      <w:r w:rsidRPr="00516960">
        <w:rPr>
          <w:rFonts w:hint="eastAsia"/>
          <w:b/>
          <w:sz w:val="24"/>
        </w:rPr>
        <w:t>浙江省</w:t>
      </w:r>
      <w:r w:rsidRPr="00516960">
        <w:rPr>
          <w:rFonts w:hint="eastAsia"/>
          <w:b/>
          <w:sz w:val="24"/>
        </w:rPr>
        <w:t>2013</w:t>
      </w:r>
      <w:r w:rsidRPr="00516960">
        <w:rPr>
          <w:rFonts w:hint="eastAsia"/>
          <w:b/>
          <w:sz w:val="24"/>
        </w:rPr>
        <w:t>年普通高校自主选拔考生、艺术特长生</w:t>
      </w:r>
      <w:r w:rsidRPr="00516960">
        <w:rPr>
          <w:rFonts w:hint="eastAsia"/>
          <w:b/>
        </w:rPr>
        <w:t>志愿表</w:t>
      </w:r>
    </w:p>
    <w:bookmarkEnd w:id="0"/>
    <w:p w:rsidR="0086014E" w:rsidRPr="00516960" w:rsidRDefault="0086014E" w:rsidP="0086014E">
      <w:pPr>
        <w:jc w:val="center"/>
        <w:rPr>
          <w:rFonts w:hint="eastAsia"/>
          <w:b/>
          <w:sz w:val="24"/>
        </w:rPr>
      </w:pPr>
    </w:p>
    <w:tbl>
      <w:tblPr>
        <w:tblW w:w="87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1530"/>
        <w:gridCol w:w="2068"/>
        <w:gridCol w:w="1532"/>
        <w:gridCol w:w="2930"/>
      </w:tblGrid>
      <w:tr w:rsidR="0086014E" w:rsidRPr="00516960" w:rsidTr="00A45C99">
        <w:trPr>
          <w:cantSplit/>
          <w:trHeight w:val="452"/>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r w:rsidRPr="00516960">
              <w:rPr>
                <w:rFonts w:hint="eastAsia"/>
              </w:rPr>
              <w:tab/>
            </w:r>
            <w:r w:rsidRPr="00516960">
              <w:rPr>
                <w:rFonts w:hint="eastAsia"/>
              </w:rPr>
              <w:t>考</w:t>
            </w:r>
          </w:p>
          <w:p w:rsidR="0086014E" w:rsidRPr="00516960" w:rsidRDefault="0086014E" w:rsidP="00A45C99">
            <w:pPr>
              <w:rPr>
                <w:rFonts w:hint="eastAsia"/>
              </w:rPr>
            </w:pPr>
            <w:r w:rsidRPr="00516960">
              <w:rPr>
                <w:rFonts w:hint="eastAsia"/>
              </w:rPr>
              <w:t>生</w:t>
            </w:r>
          </w:p>
          <w:p w:rsidR="0086014E" w:rsidRPr="00516960" w:rsidRDefault="0086014E" w:rsidP="00A45C99">
            <w:pPr>
              <w:rPr>
                <w:rFonts w:hint="eastAsia"/>
              </w:rPr>
            </w:pPr>
            <w:r w:rsidRPr="00516960">
              <w:rPr>
                <w:rFonts w:hint="eastAsia"/>
              </w:rPr>
              <w:t>志</w:t>
            </w:r>
          </w:p>
          <w:p w:rsidR="0086014E" w:rsidRPr="00516960" w:rsidRDefault="0086014E" w:rsidP="00A45C99">
            <w:r w:rsidRPr="00516960">
              <w:rPr>
                <w:rFonts w:hint="eastAsia"/>
              </w:rPr>
              <w:t>愿</w:t>
            </w:r>
          </w:p>
        </w:tc>
        <w:tc>
          <w:tcPr>
            <w:tcW w:w="1530"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姓</w:t>
            </w:r>
            <w:r w:rsidRPr="00516960">
              <w:rPr>
                <w:rFonts w:hint="eastAsia"/>
              </w:rPr>
              <w:t xml:space="preserve">   </w:t>
            </w:r>
            <w:r w:rsidRPr="00516960">
              <w:rPr>
                <w:rFonts w:hint="eastAsia"/>
              </w:rPr>
              <w:t>名</w:t>
            </w:r>
          </w:p>
        </w:tc>
        <w:tc>
          <w:tcPr>
            <w:tcW w:w="2068"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c>
          <w:tcPr>
            <w:tcW w:w="1532"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性</w:t>
            </w:r>
            <w:r w:rsidRPr="00516960">
              <w:rPr>
                <w:rFonts w:hint="eastAsia"/>
              </w:rPr>
              <w:t xml:space="preserve">   </w:t>
            </w:r>
            <w:r w:rsidRPr="00516960">
              <w:rPr>
                <w:rFonts w:hint="eastAsia"/>
              </w:rPr>
              <w:t>别</w:t>
            </w:r>
          </w:p>
        </w:tc>
        <w:tc>
          <w:tcPr>
            <w:tcW w:w="2930"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r>
      <w:tr w:rsidR="0086014E" w:rsidRPr="00516960" w:rsidTr="00A45C99">
        <w:trPr>
          <w:cantSplit/>
          <w:trHeight w:val="510"/>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1530"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报名序号</w:t>
            </w:r>
          </w:p>
        </w:tc>
        <w:tc>
          <w:tcPr>
            <w:tcW w:w="2068"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c>
          <w:tcPr>
            <w:tcW w:w="1532"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身份证号</w:t>
            </w:r>
          </w:p>
        </w:tc>
        <w:tc>
          <w:tcPr>
            <w:tcW w:w="2930"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r>
      <w:tr w:rsidR="0086014E" w:rsidRPr="00516960" w:rsidTr="00A45C99">
        <w:trPr>
          <w:cantSplit/>
          <w:trHeight w:val="413"/>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1530"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联系电话</w:t>
            </w:r>
            <w:r w:rsidRPr="00516960">
              <w:rPr>
                <w:rFonts w:hint="eastAsia"/>
              </w:rPr>
              <w:t>1</w:t>
            </w:r>
          </w:p>
        </w:tc>
        <w:tc>
          <w:tcPr>
            <w:tcW w:w="2068"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c>
          <w:tcPr>
            <w:tcW w:w="1532"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联系电话</w:t>
            </w:r>
            <w:r w:rsidRPr="00516960">
              <w:rPr>
                <w:rFonts w:hint="eastAsia"/>
              </w:rPr>
              <w:t>2</w:t>
            </w:r>
          </w:p>
        </w:tc>
        <w:tc>
          <w:tcPr>
            <w:tcW w:w="2930" w:type="dxa"/>
            <w:tcBorders>
              <w:top w:val="single" w:sz="4" w:space="0" w:color="auto"/>
              <w:left w:val="single" w:sz="4" w:space="0" w:color="auto"/>
              <w:bottom w:val="single" w:sz="4" w:space="0" w:color="auto"/>
              <w:right w:val="single" w:sz="4" w:space="0" w:color="auto"/>
            </w:tcBorders>
          </w:tcPr>
          <w:p w:rsidR="0086014E" w:rsidRPr="00516960" w:rsidRDefault="0086014E" w:rsidP="00A45C99"/>
        </w:tc>
      </w:tr>
      <w:tr w:rsidR="0086014E" w:rsidRPr="00516960" w:rsidTr="00A45C99">
        <w:trPr>
          <w:cantSplit/>
          <w:trHeight w:val="393"/>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1530" w:type="dxa"/>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毕业中学</w:t>
            </w:r>
          </w:p>
        </w:tc>
        <w:tc>
          <w:tcPr>
            <w:tcW w:w="6530" w:type="dxa"/>
            <w:gridSpan w:val="3"/>
            <w:tcBorders>
              <w:top w:val="single" w:sz="4" w:space="0" w:color="auto"/>
              <w:left w:val="single" w:sz="4" w:space="0" w:color="auto"/>
              <w:bottom w:val="single" w:sz="4" w:space="0" w:color="auto"/>
              <w:right w:val="single" w:sz="4" w:space="0" w:color="auto"/>
            </w:tcBorders>
          </w:tcPr>
          <w:p w:rsidR="0086014E" w:rsidRPr="00516960" w:rsidRDefault="0086014E" w:rsidP="00A45C99"/>
        </w:tc>
      </w:tr>
      <w:tr w:rsidR="0086014E" w:rsidRPr="00516960" w:rsidTr="00A45C99">
        <w:trPr>
          <w:cantSplit/>
          <w:trHeight w:val="962"/>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1530" w:type="dxa"/>
            <w:tcBorders>
              <w:top w:val="single" w:sz="4" w:space="0" w:color="auto"/>
              <w:left w:val="single" w:sz="4" w:space="0" w:color="auto"/>
              <w:right w:val="single" w:sz="4" w:space="0" w:color="auto"/>
            </w:tcBorders>
          </w:tcPr>
          <w:p w:rsidR="0086014E" w:rsidRPr="00516960" w:rsidRDefault="0086014E" w:rsidP="00A45C99">
            <w:pPr>
              <w:rPr>
                <w:rFonts w:hint="eastAsia"/>
              </w:rPr>
            </w:pPr>
            <w:r w:rsidRPr="00516960">
              <w:rPr>
                <w:rFonts w:hint="eastAsia"/>
              </w:rPr>
              <w:t>志愿</w:t>
            </w:r>
          </w:p>
          <w:p w:rsidR="0086014E" w:rsidRPr="00516960" w:rsidRDefault="0086014E" w:rsidP="00A45C99">
            <w:pPr>
              <w:rPr>
                <w:rFonts w:hint="eastAsia"/>
              </w:rPr>
            </w:pPr>
            <w:r w:rsidRPr="00516960">
              <w:rPr>
                <w:rFonts w:hint="eastAsia"/>
              </w:rPr>
              <w:t>(</w:t>
            </w:r>
            <w:r w:rsidRPr="00516960">
              <w:rPr>
                <w:rFonts w:hint="eastAsia"/>
              </w:rPr>
              <w:t>放弃所有高校入选资格者说明具体原因</w:t>
            </w:r>
            <w:r w:rsidRPr="00516960">
              <w:rPr>
                <w:rFonts w:hint="eastAsia"/>
              </w:rPr>
              <w:t>)</w:t>
            </w:r>
          </w:p>
        </w:tc>
        <w:tc>
          <w:tcPr>
            <w:tcW w:w="6530" w:type="dxa"/>
            <w:gridSpan w:val="3"/>
            <w:tcBorders>
              <w:top w:val="single" w:sz="4" w:space="0" w:color="auto"/>
              <w:left w:val="single" w:sz="4" w:space="0" w:color="auto"/>
              <w:right w:val="single" w:sz="4" w:space="0" w:color="auto"/>
            </w:tcBorders>
          </w:tcPr>
          <w:p w:rsidR="0086014E" w:rsidRPr="00516960" w:rsidRDefault="0086014E" w:rsidP="00A45C99">
            <w:pPr>
              <w:rPr>
                <w:rFonts w:hint="eastAsia"/>
              </w:rPr>
            </w:pPr>
          </w:p>
        </w:tc>
      </w:tr>
      <w:tr w:rsidR="0086014E" w:rsidRPr="00516960" w:rsidTr="00A45C99">
        <w:trPr>
          <w:cantSplit/>
          <w:trHeight w:val="1105"/>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8060" w:type="dxa"/>
            <w:gridSpan w:val="4"/>
            <w:tcBorders>
              <w:top w:val="single" w:sz="4" w:space="0" w:color="auto"/>
              <w:left w:val="single" w:sz="4" w:space="0" w:color="auto"/>
              <w:bottom w:val="single" w:sz="4" w:space="0" w:color="auto"/>
              <w:right w:val="single" w:sz="4" w:space="0" w:color="auto"/>
            </w:tcBorders>
          </w:tcPr>
          <w:p w:rsidR="0086014E" w:rsidRPr="00516960" w:rsidRDefault="0086014E" w:rsidP="00A45C99">
            <w:pPr>
              <w:rPr>
                <w:rFonts w:hint="eastAsia"/>
              </w:rPr>
            </w:pPr>
            <w:r w:rsidRPr="00516960">
              <w:rPr>
                <w:rFonts w:hint="eastAsia"/>
              </w:rPr>
              <w:t>声明：</w:t>
            </w:r>
          </w:p>
          <w:p w:rsidR="0086014E" w:rsidRPr="00516960" w:rsidRDefault="0086014E" w:rsidP="00A45C99">
            <w:r w:rsidRPr="00516960">
              <w:rPr>
                <w:rFonts w:hint="eastAsia"/>
              </w:rPr>
              <w:t>本人及法定监护人已了解自主选拔和艺术特长生有关政策和录取规定。经慎重考虑，决定填报（或放弃）上述志愿。本人及法定监护人对此负责。</w:t>
            </w:r>
          </w:p>
        </w:tc>
      </w:tr>
      <w:tr w:rsidR="0086014E" w:rsidRPr="00516960" w:rsidTr="00A45C99">
        <w:trPr>
          <w:cantSplit/>
          <w:trHeight w:val="1017"/>
        </w:trPr>
        <w:tc>
          <w:tcPr>
            <w:tcW w:w="738" w:type="dxa"/>
            <w:vMerge/>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tc>
        <w:tc>
          <w:tcPr>
            <w:tcW w:w="3598" w:type="dxa"/>
            <w:gridSpan w:val="2"/>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考生签名：</w:t>
            </w:r>
          </w:p>
          <w:p w:rsidR="0086014E" w:rsidRPr="00516960" w:rsidRDefault="0086014E" w:rsidP="00A45C99">
            <w:pPr>
              <w:rPr>
                <w:rFonts w:hint="eastAsia"/>
              </w:rPr>
            </w:pPr>
          </w:p>
          <w:p w:rsidR="0086014E" w:rsidRPr="00516960" w:rsidRDefault="0086014E" w:rsidP="00A45C99">
            <w:r w:rsidRPr="00516960">
              <w:rPr>
                <w:rFonts w:hint="eastAsia"/>
              </w:rPr>
              <w:t>2013</w:t>
            </w:r>
            <w:r w:rsidRPr="00516960">
              <w:rPr>
                <w:rFonts w:hint="eastAsia"/>
              </w:rPr>
              <w:t>年</w:t>
            </w:r>
            <w:r w:rsidRPr="00516960">
              <w:rPr>
                <w:rFonts w:hint="eastAsia"/>
              </w:rPr>
              <w:t xml:space="preserve"> </w:t>
            </w:r>
            <w:r w:rsidRPr="00516960">
              <w:rPr>
                <w:rFonts w:hint="eastAsia"/>
              </w:rPr>
              <w:t>月</w:t>
            </w:r>
            <w:r w:rsidRPr="00516960">
              <w:rPr>
                <w:rFonts w:hint="eastAsia"/>
              </w:rPr>
              <w:t xml:space="preserve"> </w:t>
            </w:r>
            <w:r w:rsidRPr="00516960">
              <w:rPr>
                <w:rFonts w:hint="eastAsia"/>
              </w:rPr>
              <w:t>日</w:t>
            </w:r>
          </w:p>
        </w:tc>
        <w:tc>
          <w:tcPr>
            <w:tcW w:w="4462" w:type="dxa"/>
            <w:gridSpan w:val="2"/>
            <w:tcBorders>
              <w:top w:val="single" w:sz="4" w:space="0" w:color="auto"/>
              <w:left w:val="single" w:sz="4" w:space="0" w:color="auto"/>
              <w:bottom w:val="single" w:sz="4" w:space="0" w:color="auto"/>
              <w:right w:val="single" w:sz="4" w:space="0" w:color="auto"/>
            </w:tcBorders>
          </w:tcPr>
          <w:p w:rsidR="0086014E" w:rsidRPr="00516960" w:rsidRDefault="0086014E" w:rsidP="00A45C99">
            <w:r w:rsidRPr="00516960">
              <w:rPr>
                <w:rFonts w:hint="eastAsia"/>
              </w:rPr>
              <w:t>法定监护人签名：</w:t>
            </w:r>
          </w:p>
          <w:p w:rsidR="0086014E" w:rsidRPr="00516960" w:rsidRDefault="0086014E" w:rsidP="00A45C99">
            <w:pPr>
              <w:rPr>
                <w:rFonts w:hint="eastAsia"/>
              </w:rPr>
            </w:pPr>
          </w:p>
          <w:p w:rsidR="0086014E" w:rsidRPr="00516960" w:rsidRDefault="0086014E" w:rsidP="00A45C99">
            <w:r w:rsidRPr="00516960">
              <w:rPr>
                <w:rFonts w:hint="eastAsia"/>
              </w:rPr>
              <w:t>2013</w:t>
            </w:r>
            <w:r w:rsidRPr="00516960">
              <w:rPr>
                <w:rFonts w:hint="eastAsia"/>
              </w:rPr>
              <w:t>年</w:t>
            </w:r>
            <w:r w:rsidRPr="00516960">
              <w:rPr>
                <w:rFonts w:hint="eastAsia"/>
              </w:rPr>
              <w:t xml:space="preserve"> </w:t>
            </w:r>
            <w:r w:rsidRPr="00516960">
              <w:rPr>
                <w:rFonts w:hint="eastAsia"/>
              </w:rPr>
              <w:t>月</w:t>
            </w:r>
            <w:r w:rsidRPr="00516960">
              <w:rPr>
                <w:rFonts w:hint="eastAsia"/>
              </w:rPr>
              <w:t xml:space="preserve"> </w:t>
            </w:r>
            <w:r w:rsidRPr="00516960">
              <w:rPr>
                <w:rFonts w:hint="eastAsia"/>
              </w:rPr>
              <w:t>日</w:t>
            </w:r>
          </w:p>
        </w:tc>
      </w:tr>
      <w:tr w:rsidR="0086014E" w:rsidRPr="00516960" w:rsidTr="00A45C99">
        <w:trPr>
          <w:cantSplit/>
          <w:trHeight w:val="1700"/>
        </w:trPr>
        <w:tc>
          <w:tcPr>
            <w:tcW w:w="738" w:type="dxa"/>
            <w:tcBorders>
              <w:top w:val="single" w:sz="4" w:space="0" w:color="auto"/>
              <w:left w:val="single" w:sz="4" w:space="0" w:color="auto"/>
              <w:bottom w:val="single" w:sz="4" w:space="0" w:color="auto"/>
              <w:right w:val="single" w:sz="4" w:space="0" w:color="auto"/>
            </w:tcBorders>
            <w:vAlign w:val="center"/>
          </w:tcPr>
          <w:p w:rsidR="0086014E" w:rsidRPr="00516960" w:rsidRDefault="0086014E" w:rsidP="00A45C99">
            <w:r w:rsidRPr="00516960">
              <w:rPr>
                <w:rFonts w:hint="eastAsia"/>
              </w:rPr>
              <w:t>县</w:t>
            </w:r>
          </w:p>
          <w:p w:rsidR="0086014E" w:rsidRPr="00516960" w:rsidRDefault="0086014E" w:rsidP="00A45C99">
            <w:pPr>
              <w:rPr>
                <w:rFonts w:hint="eastAsia"/>
              </w:rPr>
            </w:pPr>
            <w:r w:rsidRPr="00516960">
              <w:rPr>
                <w:rFonts w:hint="eastAsia"/>
              </w:rPr>
              <w:t>市</w:t>
            </w:r>
          </w:p>
          <w:p w:rsidR="0086014E" w:rsidRPr="00516960" w:rsidRDefault="0086014E" w:rsidP="00A45C99">
            <w:pPr>
              <w:rPr>
                <w:rFonts w:hint="eastAsia"/>
              </w:rPr>
            </w:pPr>
            <w:r w:rsidRPr="00516960">
              <w:rPr>
                <w:rFonts w:hint="eastAsia"/>
              </w:rPr>
              <w:t>区</w:t>
            </w:r>
          </w:p>
          <w:p w:rsidR="0086014E" w:rsidRPr="00516960" w:rsidRDefault="0086014E" w:rsidP="00A45C99">
            <w:pPr>
              <w:rPr>
                <w:rFonts w:hint="eastAsia"/>
              </w:rPr>
            </w:pPr>
            <w:r w:rsidRPr="00516960">
              <w:rPr>
                <w:rFonts w:hint="eastAsia"/>
              </w:rPr>
              <w:t>复</w:t>
            </w:r>
          </w:p>
          <w:p w:rsidR="0086014E" w:rsidRPr="00516960" w:rsidRDefault="0086014E" w:rsidP="00A45C99">
            <w:r w:rsidRPr="00516960">
              <w:rPr>
                <w:rFonts w:hint="eastAsia"/>
              </w:rPr>
              <w:t>核</w:t>
            </w:r>
          </w:p>
        </w:tc>
        <w:tc>
          <w:tcPr>
            <w:tcW w:w="8060" w:type="dxa"/>
            <w:gridSpan w:val="4"/>
            <w:tcBorders>
              <w:top w:val="single" w:sz="4" w:space="0" w:color="auto"/>
              <w:left w:val="single" w:sz="4" w:space="0" w:color="auto"/>
              <w:bottom w:val="single" w:sz="4" w:space="0" w:color="auto"/>
              <w:right w:val="single" w:sz="4" w:space="0" w:color="auto"/>
            </w:tcBorders>
          </w:tcPr>
          <w:p w:rsidR="0086014E" w:rsidRPr="00516960" w:rsidRDefault="0086014E" w:rsidP="00A45C99">
            <w:pPr>
              <w:rPr>
                <w:rFonts w:hint="eastAsia"/>
              </w:rPr>
            </w:pPr>
            <w:r w:rsidRPr="00516960">
              <w:rPr>
                <w:rFonts w:hint="eastAsia"/>
              </w:rPr>
              <w:t>县、市招办复核意见：</w:t>
            </w:r>
          </w:p>
          <w:p w:rsidR="0086014E" w:rsidRPr="00516960" w:rsidRDefault="0086014E" w:rsidP="00A45C99">
            <w:pPr>
              <w:rPr>
                <w:rFonts w:hint="eastAsia"/>
              </w:rPr>
            </w:pPr>
          </w:p>
          <w:p w:rsidR="0086014E" w:rsidRPr="00516960" w:rsidRDefault="0086014E" w:rsidP="00A45C99">
            <w:pPr>
              <w:rPr>
                <w:rFonts w:hint="eastAsia"/>
              </w:rPr>
            </w:pPr>
          </w:p>
          <w:p w:rsidR="0086014E" w:rsidRPr="00516960" w:rsidRDefault="0086014E" w:rsidP="00A45C99">
            <w:pPr>
              <w:rPr>
                <w:rFonts w:hint="eastAsia"/>
              </w:rPr>
            </w:pPr>
            <w:r w:rsidRPr="00516960">
              <w:rPr>
                <w:rFonts w:hint="eastAsia"/>
              </w:rPr>
              <w:t>复核人签名：</w:t>
            </w:r>
            <w:r w:rsidRPr="00516960">
              <w:rPr>
                <w:rFonts w:hint="eastAsia"/>
              </w:rPr>
              <w:t xml:space="preserve">              </w:t>
            </w:r>
            <w:r w:rsidRPr="00516960">
              <w:rPr>
                <w:rFonts w:hint="eastAsia"/>
              </w:rPr>
              <w:t>单位公章</w:t>
            </w:r>
          </w:p>
          <w:p w:rsidR="0086014E" w:rsidRPr="00516960" w:rsidRDefault="0086014E" w:rsidP="00A45C99">
            <w:r w:rsidRPr="00516960">
              <w:rPr>
                <w:rFonts w:hint="eastAsia"/>
              </w:rPr>
              <w:t>2013</w:t>
            </w:r>
            <w:r w:rsidRPr="00516960">
              <w:rPr>
                <w:rFonts w:hint="eastAsia"/>
              </w:rPr>
              <w:t>年</w:t>
            </w:r>
            <w:r w:rsidRPr="00516960">
              <w:rPr>
                <w:rFonts w:hint="eastAsia"/>
              </w:rPr>
              <w:t xml:space="preserve"> </w:t>
            </w:r>
            <w:r w:rsidRPr="00516960">
              <w:rPr>
                <w:rFonts w:hint="eastAsia"/>
              </w:rPr>
              <w:t>月</w:t>
            </w:r>
            <w:r w:rsidRPr="00516960">
              <w:rPr>
                <w:rFonts w:hint="eastAsia"/>
              </w:rPr>
              <w:t xml:space="preserve"> </w:t>
            </w:r>
            <w:r w:rsidRPr="00516960">
              <w:rPr>
                <w:rFonts w:hint="eastAsia"/>
              </w:rPr>
              <w:t>日</w:t>
            </w:r>
          </w:p>
        </w:tc>
      </w:tr>
    </w:tbl>
    <w:p w:rsidR="0086014E" w:rsidRPr="00516960" w:rsidRDefault="0086014E" w:rsidP="0086014E">
      <w:pPr>
        <w:rPr>
          <w:rFonts w:hint="eastAsia"/>
        </w:rPr>
      </w:pPr>
      <w:r w:rsidRPr="00516960">
        <w:rPr>
          <w:rFonts w:hint="eastAsia"/>
        </w:rPr>
        <w:t>重要说明：</w:t>
      </w:r>
    </w:p>
    <w:p w:rsidR="0086014E" w:rsidRPr="00516960" w:rsidRDefault="0086014E" w:rsidP="0086014E">
      <w:pPr>
        <w:rPr>
          <w:rFonts w:hint="eastAsia"/>
        </w:rPr>
      </w:pPr>
      <w:r w:rsidRPr="00516960">
        <w:rPr>
          <w:rFonts w:hint="eastAsia"/>
        </w:rPr>
        <w:t xml:space="preserve">1. </w:t>
      </w:r>
      <w:r w:rsidRPr="00516960">
        <w:rPr>
          <w:rFonts w:hint="eastAsia"/>
        </w:rPr>
        <w:t>高校自主选拔、艺术特长生在普通高校第一批提前录取最后一天单独投档（复旦大学、上海交通大学自主选拔改革试验预录取考生在</w:t>
      </w:r>
      <w:smartTag w:uri="urn:schemas-microsoft-com:office:smarttags" w:element="chsdate">
        <w:smartTagPr>
          <w:attr w:name="IsROCDate" w:val="False"/>
          <w:attr w:name="IsLunarDate" w:val="False"/>
          <w:attr w:name="Day" w:val="25"/>
          <w:attr w:name="Month" w:val="6"/>
          <w:attr w:name="Year" w:val="2013"/>
        </w:smartTagPr>
        <w:r w:rsidRPr="00516960">
          <w:rPr>
            <w:rFonts w:hint="eastAsia"/>
          </w:rPr>
          <w:t>6</w:t>
        </w:r>
        <w:r w:rsidRPr="00516960">
          <w:rPr>
            <w:rFonts w:hint="eastAsia"/>
          </w:rPr>
          <w:t>月</w:t>
        </w:r>
        <w:r w:rsidRPr="00516960">
          <w:rPr>
            <w:rFonts w:hint="eastAsia"/>
          </w:rPr>
          <w:t>25</w:t>
        </w:r>
        <w:r w:rsidRPr="00516960">
          <w:rPr>
            <w:rFonts w:hint="eastAsia"/>
          </w:rPr>
          <w:t>日</w:t>
        </w:r>
      </w:smartTag>
      <w:r w:rsidRPr="00516960">
        <w:rPr>
          <w:rFonts w:hint="eastAsia"/>
        </w:rPr>
        <w:t>前完成录取工作）。本表志愿为自主选拔、艺术特长生投档的唯一依据，须考生本人及其法定监护人对志愿（包括放弃志愿）信息予以签名确认。如不按规定确认而对录取产生不利影响，由考生负责。</w:t>
      </w:r>
    </w:p>
    <w:p w:rsidR="0086014E" w:rsidRPr="00516960" w:rsidRDefault="0086014E" w:rsidP="0086014E">
      <w:pPr>
        <w:rPr>
          <w:rFonts w:hint="eastAsia"/>
        </w:rPr>
      </w:pPr>
      <w:r w:rsidRPr="00516960">
        <w:rPr>
          <w:rFonts w:hint="eastAsia"/>
        </w:rPr>
        <w:t>2.</w:t>
      </w:r>
      <w:r w:rsidRPr="00516960">
        <w:rPr>
          <w:rFonts w:hint="eastAsia"/>
        </w:rPr>
        <w:t>高考成绩发布之后，本次已填报自主选拔或艺术特长生志愿的考生，仍可按有关要求填报各批次高考志愿；已填报自主选拔、艺术特长生院校志愿但又放弃的考生，第一批招生录取时只能通过填报征求志愿参加录取。</w:t>
      </w:r>
    </w:p>
    <w:p w:rsidR="0086014E" w:rsidRPr="00516960" w:rsidRDefault="0086014E" w:rsidP="0086014E">
      <w:pPr>
        <w:rPr>
          <w:rFonts w:hint="eastAsia"/>
        </w:rPr>
      </w:pPr>
      <w:r w:rsidRPr="00516960">
        <w:rPr>
          <w:rFonts w:hint="eastAsia"/>
        </w:rPr>
        <w:t xml:space="preserve">3. </w:t>
      </w:r>
      <w:r w:rsidRPr="00516960">
        <w:rPr>
          <w:rFonts w:hint="eastAsia"/>
        </w:rPr>
        <w:t>考生志愿信息由省教育考试院汇总后反馈有关高校。省教育考试院对达到第一批控制分数线的有关考生，按招生院校高考前确定的降分幅度予以投档。已被自主选拔、艺术特长生录取的考生，后面各批次将不再录取。</w:t>
      </w:r>
      <w:r w:rsidRPr="00516960">
        <w:rPr>
          <w:rFonts w:hint="eastAsia"/>
        </w:rPr>
        <w:t xml:space="preserve"> </w:t>
      </w:r>
    </w:p>
    <w:p w:rsidR="0086014E" w:rsidRPr="00516960" w:rsidRDefault="0086014E" w:rsidP="0086014E">
      <w:pPr>
        <w:rPr>
          <w:rFonts w:hint="eastAsia"/>
        </w:rPr>
      </w:pPr>
      <w:r w:rsidRPr="00516960">
        <w:rPr>
          <w:rFonts w:hint="eastAsia"/>
        </w:rPr>
        <w:t>4</w:t>
      </w:r>
      <w:r w:rsidRPr="00516960">
        <w:rPr>
          <w:rFonts w:hint="eastAsia"/>
        </w:rPr>
        <w:t>．本表一式三份，一份由各设区市汇总后报省教育考试</w:t>
      </w:r>
      <w:proofErr w:type="gramStart"/>
      <w:r w:rsidRPr="00516960">
        <w:rPr>
          <w:rFonts w:hint="eastAsia"/>
        </w:rPr>
        <w:t>院计划</w:t>
      </w:r>
      <w:proofErr w:type="gramEnd"/>
      <w:r w:rsidRPr="00516960">
        <w:rPr>
          <w:rFonts w:hint="eastAsia"/>
        </w:rPr>
        <w:t>发展处，另两份分别由考生和各县招办留存备查。</w:t>
      </w:r>
    </w:p>
    <w:p w:rsidR="001B5DED" w:rsidRPr="0086014E" w:rsidRDefault="001B5DED"/>
    <w:sectPr w:rsidR="001B5DED" w:rsidRPr="00860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4E"/>
    <w:rsid w:val="001B5DED"/>
    <w:rsid w:val="0086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2013-07-24T07:09:00Z</dcterms:created>
  <dcterms:modified xsi:type="dcterms:W3CDTF">2013-07-24T07:09:00Z</dcterms:modified>
</cp:coreProperties>
</file>