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11303000</wp:posOffset>
            </wp:positionH>
            <wp:positionV relativeFrom="topMargin">
              <wp:posOffset>11214100</wp:posOffset>
            </wp:positionV>
            <wp:extent cx="406400" cy="368300"/>
            <wp:effectExtent l="0" t="0" r="508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0"/>
                    <a:stretch>
                      <a:fillRect/>
                    </a:stretch>
                  </pic:blipFill>
                  <pic:spPr>
                    <a:xfrm>
                      <a:off x="0" y="0"/>
                      <a:ext cx="406400" cy="368300"/>
                    </a:xfrm>
                    <a:prstGeom prst="rect">
                      <a:avLst/>
                    </a:prstGeom>
                  </pic:spPr>
                </pic:pic>
              </a:graphicData>
            </a:graphic>
          </wp:anchor>
        </w:drawing>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政治</w:t>
      </w:r>
      <w:r>
        <w:rPr>
          <w:rFonts w:hint="default" w:ascii="Times New Roman" w:hAnsi="Times New Roman" w:eastAsia="宋体" w:cs="Times New Roman"/>
          <w:b/>
          <w:bCs/>
          <w:i w:val="0"/>
          <w:sz w:val="44"/>
          <w:szCs w:val="44"/>
        </w:rPr>
        <w:t>试题</w:t>
      </w:r>
    </w:p>
    <w:p>
      <w:pPr>
        <w:spacing w:line="240" w:lineRule="auto"/>
        <w:jc w:val="center"/>
        <w:textAlignment w:val="center"/>
        <w:rPr>
          <w:rFonts w:hint="default" w:ascii="Times New Roman" w:hAnsi="Times New Roman" w:eastAsia="宋体" w:cs="Times New Roman"/>
          <w:b/>
          <w:i w:val="0"/>
          <w:sz w:val="21"/>
          <w:lang w:eastAsia="zh-CN"/>
        </w:rPr>
      </w:pPr>
      <w:r>
        <w:rPr>
          <w:rFonts w:hint="default" w:ascii="Times New Roman" w:hAnsi="Times New Roman" w:cs="Times New Roman"/>
          <w:b/>
          <w:i w:val="0"/>
          <w:sz w:val="21"/>
          <w:lang w:eastAsia="zh-CN"/>
        </w:rPr>
        <w:t>（</w:t>
      </w:r>
      <w:r>
        <w:rPr>
          <w:rFonts w:hint="default" w:ascii="Times New Roman" w:hAnsi="Times New Roman" w:cs="Times New Roman"/>
          <w:b/>
          <w:i w:val="0"/>
          <w:sz w:val="21"/>
          <w:lang w:val="en-US" w:eastAsia="zh-CN"/>
        </w:rPr>
        <w:t>考试时间：75分钟</w:t>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试卷满分：100分</w:t>
      </w:r>
      <w:r>
        <w:rPr>
          <w:rFonts w:hint="default" w:ascii="Times New Roman" w:hAnsi="Times New Roman" w:cs="Times New Roman"/>
          <w:b/>
          <w:i w:val="0"/>
          <w:sz w:val="21"/>
          <w:lang w:eastAsia="zh-CN"/>
        </w:rPr>
        <w:t>）</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一、选</w:t>
      </w:r>
      <w:r>
        <w:rPr>
          <w:rFonts w:hint="eastAsia" w:cs="Times New Roman"/>
          <w:b/>
          <w:i w:val="0"/>
          <w:sz w:val="24"/>
          <w:szCs w:val="28"/>
          <w:lang w:val="en-US" w:eastAsia="zh-CN"/>
        </w:rPr>
        <w:t>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共16小题，每小题3分，共48分。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对于中国的改革开放，有人如此总结：改革开放的成就“梅花扑鼻香”；改革开放的过程“大胆去尝试”；改革开放的现状“黄金无足色”；改革开放的未来“仍需傲霜雪”。对此，下列解读正确的有（</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①梅花扑鼻香——改革开放从根本上改变了中国社会的发展方向</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②大胆去尝试——要破除僵化教条的思想观念，推进各方面创新</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③黄金无足色——在改革开放取得巨大成就的同时，正视急需解决的问题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④仍需傲霜雪——要绕过深刻转型中积累的问题，寻求改革的捷径</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习近平新时代中国特色社会主义思想是当代中国马克思主义、二十一世纪马克思主义，是中华文化和中国精神的时代精华，实现了马克思主义中国化新的飞跃。据此可以推断（</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①习近平新时代中国特色社会主义思想具有鲜明突出的实践品格</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②习近平新时代中国特色社会主义思想具有与时俱进的理论品质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③马克思主义在中国特色社会主义的新时代已经发生了本质变化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④习近平新时代中国特色社会主义思想和马列主义是完全一样的</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一带一路”实施十年来，国务院国资委和各央企积极推进国际化经营，承担沿线重要项目3400余个。下一步，央企将在更大范围、更深层次、更高水平加强同各国企业的合作，与各国企业共同培育更多新产业新业态新模式。央企积极推进国际化经营（</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①是为了深化国际合作、培育大型跨国公司</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②有助于中国深度融入全球产业分工合作体系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③能推动国内国际双循环相互促进格局的形成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④旨在形成以经济外循环为主体的新发展格局</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为促进经济平稳运行，我国强化宏观政策跨周期和逆周期调节，打好政策“组合拳”：从“减税降费”到“减税降费+缓税缓费”再到“减税降费+缓税缓费+留抵退税”；两次下调存款准备金率（同时下调存贷款基准利率），保持货币信贷合理增长。以上政策工具对稳定经济发展的传导路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①增加信贷总量→增强投资能力→激发市场活力→促进经济发展</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②降低融资成本→增加科研投入→提升创新能力→提高经济效益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③拓宽融资渠道→降低融资成本→助力实体经济→提高经济效益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④降低企业负担→优化产品供给→拉动消费升级→促进经济发展</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河北省邯郸市广平县胜营镇采取“合作社+农场+订单+技术服务”的模式，打造了千亩西兰花种植基地，与北京新发地、美团等公司长期合作，实现了西兰花种苗培育、种植、储存、销售一条龙服务，助力农民增收和集体经济发展。此举有利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①壮大集体经济，推动乡村振兴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②重新界定农村土地的所有权性质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③推动集体经济在国民经济中发挥主导作用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④提升集体经济效率，推进公有制发展壮大</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十分钟违停免罚”,是指在非严管、非拥堵路段,不影响道路通行等条件允许的情况下,驾驶人驾驶机动车临时在人行道停靠几分钟办事,被执法人员记录了的违法停车行为,执法人员通过智能执法系统短信通知车主移车,驾驶人收到短信后10分钟内主动驶离,可免去违停违法处罚的停车管理举措。“十分钟违停免罚” （</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①是坚持文明执法的具体体现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②有利于树立政府的良好形象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③坚持了人民司法为人民理念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④旨在维护驾驶人的正当权益</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习近平总书记深刻指出，要懂得“100-1=0”的道理，一个错案的负面影响足以摧毁九十九个公正裁判积累起来的良好形象，执法司法中万分之一的失误对当事人就是百分之百的伤害。为此需要司法机关（</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①在司法活动的过程和结果中坚持和体现公平正义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②拒绝执行领导干部干预司法活动的要求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③合理设定权利与义务，坚持权利与义务相统一</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④以事实为根据，做到事实认定符合客观真相</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在中央全面依法治国工作会议上，习近平总书记特别指出，普法工作要在针对性和实效性上下功夫，特别是要加强青少年法治教育，不断提升全体公民法治意识和法治素养。为此需要（</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①普法工作以习近平法治思想为统领，坚持与法治实践深度融合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②形成中国特色社会主义法律体系，保障全体公民有法可依</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③营造守法光荣、违法可耻的社会氛围，调动公民守法积极性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④落实“法律面前人人平等”的法治理念，坚持公民权利与义务相同</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在第五次中央民族工作会议上，习近平总书记强调，“铸牢中华民族共同体意识是新时代党的民族工作的“纲’，所有工作要向此聚焦”。这为做好新时代党的民族工作指明了前进方向。这体现了（</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①人的意识活动具有目的性和自觉选择性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②物质与意识相互依赖、不可分割</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③人们对客观事物的认识并不都是正确的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④正确的意识对事物的发展起促进作用</w:t>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毛泽东同志在《反对本本主义》中指出:“马克思主义的‘本本’是要学习的,但是必须同我国的实际情况相结合。”习近平总书记明确提出“坚持把马克思主义基本原理同中国具体实际相结合、同中华优秀传统文化相结合”。由此可见（</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①对待马克思主义哲学必须坚持与时俱进、实事求是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②马克思主义哲学是随认识的发展而发展的理论体系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③马克思主义是中国共产党的根本指导思想</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④与具体实际相结合是马克思主义哲学的首要观点</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首部以扫黑除恶常态化为时代背景和故事主线的电视剧《狂飙》开年火爆。该剧映射二十年社会变迁，描摹扫黑除恶征程。该剧扎根生活，反映现实，洞见时代洪流中的复杂人性，感触错综命运背后的不变初心，实现了社会价值与市场价值的双向统一，收视和口碑一路“狂飙”。该剧的成功在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①坚持以人民为中心的创作导向，把人民生活作为创作源泉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②弘扬主旋律，传播正能量，发展人民喜闻乐见的大众文化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③主动引领社会文化思潮，坚持凝聚社会共识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④体现时代特征，全景式还原了国家扫黑除恶和人民生活的历史真实经历</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2023年3月，外交部部长在十四届全国人大一次会议记者会上指出，遏制打压不会让美国变得伟大，更阻挡不了中国迈向复兴的步伐。中方将始终按照相互尊重、和平共处、合作共赢的原则致力于推动中美关系健康稳定发展。这是基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①和平是发展的基础，世界经济的发展得益于相对和平的国际环境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②任何国家不应以维护本国国家利益为由，侵犯别国的利益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③中国是维护世界和平与稳定的积极因素和主导力量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④维护国家利益是主权国家对外活动的出发点和落脚点</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2022年10月11日，国家主席习近平同德国总统施泰因迈尔互致贺电，庆祝两国建交50周年。此前，习近平主席同德国总理朔尔茨举行视频会晤，朔尔茨表示德方愿同中方举办好新一轮德中政府磋商加强各领域合作。下列认识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德国总统和德国总理分享国家的行政权力</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从政权组织形式看，德国属于联邦制国家</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德国总理由议会中多数席位政党领袖担任</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中德两国政府首脑分别是国家主席和总统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李大爷有两套房产，他有一子一女，李大爷曾立有公证遗嘱，将由儿子和女儿每人继承一套房产。5年前，女儿病故，之后李大爷的生活一直由女婿照顾，李大爷在外地工作的儿子未尽过赡养义务，李大爷又在神智清楚的情况下自书一份遗嘱，将两套房产全部留给女婿。李大爷去世以后，儿子与女婿就遗产问题产生纠纷。对此，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①李大爷的儿子为第一顺序继承人，其女婿为第二顺序继承人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②李大爷立有两份遗嘱，内容相抵触，应以第二份遗嘱为准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③李大爷自书遗嘱有效，女婿可以继承李大爷的两套房产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④公证遗嘱的法律效力先于自书遗嘱，儿子应该继承一套房产</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王某的儿子小王（时年13周岁）在用王某的手机观看网络直播时，趁其不注意偷偷绑定了王某的银行卡，此后的时间里，“熊孩子”多次充值买礼物给主播“打赏”，花费多达3万余元。对此，下列说法正确的是（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①因为小王是无民事行为能力人，其交易行为无效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②若法定监护人不同意或不追认，则小王的行为无效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③小王的父亲未尽到相应的监护职责，应承担部分责任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④若当事人对已生效的调解协议书反悔，可以提起上诉</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壮苗三分收，弱苗一半丢；好种出好苗，好树结好桃；旱豇豆，涝小豆，不旱不涝收绿豆……以前种地没有机械化，也没有先进的科学技术，靠的都是人们积累的经验。这些经验（</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①是人们通过观察农业生产的全部现象总结出来的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②是通过寻找认识对象与有关现象间因果联系得出的一般性结论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③是通过从一般到个别的推理得出的具有或然性的结论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④说明推理能够帮助人们发现认识对象的规律和本质</w:t>
      </w:r>
    </w:p>
    <w:p>
      <w:pPr>
        <w:shd w:val="clear" w:color="auto" w:fill="FFFFFF"/>
        <w:tabs>
          <w:tab w:val="left" w:pos="2078"/>
          <w:tab w:val="left" w:pos="4156"/>
          <w:tab w:val="left" w:pos="6234"/>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②③</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②④</w:t>
      </w:r>
    </w:p>
    <w:p>
      <w:pPr>
        <w:shd w:val="clear" w:color="auto" w:fill="FFFFFF"/>
        <w:spacing w:line="240" w:lineRule="auto"/>
        <w:jc w:val="left"/>
        <w:textAlignment w:val="center"/>
        <w:rPr>
          <w:rFonts w:hint="default" w:ascii="Times New Roman" w:hAnsi="Times New Roman" w:eastAsia="宋体" w:cs="Times New Roman"/>
          <w:b/>
          <w:bCs/>
          <w:sz w:val="24"/>
          <w:szCs w:val="28"/>
          <w:lang w:val="en-US" w:eastAsia="zh-CN"/>
        </w:rPr>
      </w:pPr>
      <w:r>
        <w:rPr>
          <w:rFonts w:hint="eastAsia" w:cs="Times New Roman"/>
          <w:b/>
          <w:bCs/>
          <w:sz w:val="24"/>
          <w:szCs w:val="28"/>
          <w:lang w:val="en-US" w:eastAsia="zh-CN"/>
        </w:rPr>
        <w:t>二、非选择题：共52分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eastAsia="楷体" w:cs="Times New Roman"/>
        </w:rPr>
        <w:t>改革开放以来，浙江人民在浙江省委的带领下抓住经济全球化及国际分工机遇，创新市场和资源“两头在外”的高增长模式，形成了富有特色的“地瓜经济”。面对百年未有之大变局，浙江省委指出，2023年将更大力度实施地瓜经济提升能级“一号开放工程”。此项工程必须坚持高水平“走出去”闯天下与高质量“引进来”强浙江有机统一，加快向更好利用两个市场、两种资源转变，加快由贸行天下向产行天下、智行天下跃进，打造更具韧性、更具活力、更具竞争力的“地瓜经济”。</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结合材料，回答下列问题：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(1)运用“中国共产党的领导”相关知识，说明浙江“地瓜经济”形成的主要原因。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(2)运用“我国的经济发展”相关知识，分析浙江实施“一号开放工程”相关举措的科学性。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阅读材料，完成下列要求。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新蓝图鼓舞人心，谋新篇踔厉前行。</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1964年底，根据当时的中国国情，我党确定四个现代化，“把我国建设成为一个具有现代农业、现代工业、现代国防和现代科学技术的社会主义强国，赶上和超过世界先进水平”。</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20世纪70年代末，在“四个现代化”基础上，邓小平首次提出“中国式现代化”概念。“过去搞民主革命，要适合中国情况，走毛泽东同志开辟的农村包围城市的道路。现在搞建设，也要适合中国情况，走出一条中国式的现代化道路。”</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2022年10月，站在新的历史起点上，习近平总书记在二十大报告中对中国式现代化作出科学概括：我国现代化是人口规模巨大的现代化，是全体人民共同富裕的现代化，是物质文明和精神文明相协调的现代化，是人与自然和谐共生的现代化，是走和平发展道路的现代化。</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材料二</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(1)运用《哲学与文化》中“追求真理是一个过程”的相关知识，分析中国共产党是如何探索中国式现代化的。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(2)结合材料二，运用所学《当代国际政治与经济》的相关知识，说明中国式现代化是如何体现我国外交政策的。</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eastAsia="楷体" w:cs="Times New Roman"/>
        </w:rPr>
        <w:t>2017年12月，嘉兴某农贸公司（甲方）与某家禽养殖场（乙方），签订合同，约定：乙方在2018年4月，向甲方供应1万只鸡；甲方支付预付款2万元；如有纠纷，提交仲裁机构裁决。2018年1月1日，甲方支付预付款2万元。2018年3月，当地突发禽流感。乙方的鸡全被捕杀。乙致电甲表示无鸡可卖，甲方遂要求解除合同，并返还预付款、承担违约责任。乙方认为自己没有主观过错，不应该承担违约责任。甲方无奈，向仲裁机构申请仲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运用《法律与生活》中的相关知识，结合本案，回答下列问题: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(1)乙方是否应承担违约责任？请说明理由。</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(2)如乙方不服仲裁机构裁决向法院起诉，法院是否受理？并说明理由。</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w:t>
      </w:r>
      <w:r>
        <w:rPr>
          <w:rFonts w:hint="eastAsia" w:cs="Times New Roman"/>
          <w:lang w:eastAsia="zh-CN"/>
        </w:rPr>
        <w:t xml:space="preserve">. </w:t>
      </w:r>
      <w:r>
        <w:rPr>
          <w:rFonts w:hint="default" w:ascii="Times New Roman" w:hAnsi="Times New Roman" w:cs="Times New Roman"/>
        </w:rPr>
        <w:t>阅读材料，完成下列要求。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航天梦是复兴中国梦，航天路是大国强国路。中国航天人创造了“当惊世界殊”的航天奇迹。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材料一 </w:t>
      </w:r>
      <w:r>
        <w:rPr>
          <w:rFonts w:hint="default" w:ascii="Times New Roman" w:hAnsi="Times New Roman" w:eastAsia="楷体" w:cs="Times New Roman"/>
        </w:rPr>
        <w:t>我国航天发展是渐进性和飞跃性的统一。逐梦的30年间，从无人到一人一天进入太空再到多人多天进入太空，从舱内实验到太空行走再到驻留太空3个月、6个月，一代又一代航天人奋力拼搏、接续奋斗，不断刷新中国高度、创造中国奇迹，助推航天梦伸向更远的天际。</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材料二 </w:t>
      </w:r>
      <w:r>
        <w:rPr>
          <w:rFonts w:hint="default" w:ascii="Times New Roman" w:hAnsi="Times New Roman" w:eastAsia="楷体" w:cs="Times New Roman"/>
        </w:rPr>
        <w:t>中国空间站全面建成后，为了长期运营产生更大的效益，计划推出上千个项目应用，欢迎国内外的科学家广泛参与，为人类太空探索和科学研究做出应有贡献。在这种情况下，有西方人士提出，中国空间站的标注和收发指令都是中文，而没有像国际空间站一样使用所谓国际通用文字，这说明中国超级自我封闭，正在通过语言来摆脱来自其他国家的科学家。</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(1)结合材料一，运用《逻辑与思维》的知识，说明“我国航天发展是渐进性和飞跃性的统一”。</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(2)结合材料二，运用类比推理的知识，判断该西方人士的观点是否站得住脚，并说明理由。</w:t>
      </w:r>
    </w:p>
    <w:p>
      <w:pPr>
        <w:shd w:val="clear" w:color="auto" w:fill="FFFFFF"/>
        <w:spacing w:line="240" w:lineRule="auto"/>
        <w:jc w:val="left"/>
        <w:textAlignment w:val="center"/>
        <w:rPr>
          <w:rFonts w:hint="default" w:ascii="Times New Roman" w:hAnsi="Times New Roman" w:cs="Times New Roman"/>
        </w:rPr>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bCs/>
          <w:i w:val="0"/>
          <w:sz w:val="44"/>
          <w:szCs w:val="44"/>
          <w:lang w:val="en-US" w:eastAsia="zh-CN"/>
        </w:rPr>
      </w:pPr>
      <w:r>
        <w:rPr>
          <w:rFonts w:hint="default" w:ascii="Times New Roman" w:hAnsi="Times New Roman" w:cs="Times New Roman"/>
          <w:b/>
          <w:bCs/>
          <w:sz w:val="44"/>
          <w:szCs w:val="44"/>
        </w:rPr>
        <w:drawing>
          <wp:inline distT="0" distB="0" distL="114300" distR="114300">
            <wp:extent cx="12700" cy="12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政治答案</w:t>
      </w:r>
    </w:p>
    <w:p>
      <w:pPr>
        <w:shd w:val="clear" w:color="auto" w:fill="FFFFFF"/>
        <w:spacing w:line="240" w:lineRule="auto"/>
        <w:jc w:val="left"/>
        <w:textAlignment w:val="center"/>
        <w:rPr>
          <w:rFonts w:hint="default" w:ascii="Times New Roman" w:hAnsi="Times New Roman" w:eastAsia="宋体" w:cs="Times New Roman"/>
          <w:lang w:val="en-US" w:eastAsia="zh-CN"/>
        </w:rPr>
      </w:pPr>
      <w:r>
        <w:rPr>
          <w:rFonts w:hint="eastAsia" w:cs="Times New Roman"/>
          <w:lang w:val="en-US" w:eastAsia="zh-CN"/>
        </w:rPr>
        <w:t>选择题答案：1—4：BACC</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5—8：BABA</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9—12：BAAD</w:t>
      </w:r>
      <w:r>
        <w:rPr>
          <w:rFonts w:hint="eastAsia" w:cs="Times New Roman"/>
          <w:lang w:val="en-US" w:eastAsia="zh-CN"/>
        </w:rPr>
        <w:tab/>
      </w:r>
      <w:r>
        <w:rPr>
          <w:rFonts w:hint="eastAsia" w:cs="Times New Roman"/>
          <w:lang w:val="en-US" w:eastAsia="zh-CN"/>
        </w:rPr>
        <w:tab/>
      </w:r>
      <w:r>
        <w:rPr>
          <w:rFonts w:hint="eastAsia" w:cs="Times New Roman"/>
          <w:lang w:val="en-US" w:eastAsia="zh-CN"/>
        </w:rPr>
        <w:t>13—16：CCCD</w:t>
      </w:r>
    </w:p>
    <w:p>
      <w:pPr>
        <w:shd w:val="clear" w:color="auto" w:fill="FFFFFF"/>
        <w:spacing w:line="240" w:lineRule="auto"/>
        <w:jc w:val="left"/>
        <w:textAlignment w:val="center"/>
        <w:rPr>
          <w:rFonts w:hint="eastAsia" w:ascii="Times New Roman" w:hAnsi="Times New Roman" w:eastAsia="宋体" w:cs="Times New Roman"/>
          <w:lang w:val="en-US" w:eastAsia="zh-CN"/>
        </w:rPr>
      </w:pPr>
      <w:r>
        <w:rPr>
          <w:rFonts w:hint="eastAsia" w:cs="Times New Roman"/>
          <w:lang w:val="en-US" w:eastAsia="zh-CN"/>
        </w:rPr>
        <w:t>解析：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①：中华人民共和国的成立，从根本上改变了中国社会的发展方向，改革开放并没有从根本上改变中国社会的发展方向，①错误。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②：改革开放只有进行时，没有完成时。对待改革，要破除僵化教条的思想观念，推进各方面创新，②正确。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③④：在改革开放过程中，既需要珍惜发展进程中取得的来之不易的成绩，也应当正视深刻转型中积累的不容忽视的问题，改革没有捷径，③正确，④错误。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①②：实践的观点是马克思主义哲学的核心观点，与时俱进是马克思主义哲学独有的理论品质，习近平新时代中国特色社会主义思想是马克思主义中国化的最新成果，具有鲜明突出的实践品格、与时俱进的理论品质，①②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③：马克思主义中国化，是对马克思主义的继承和发展，本质上没有发生变化，③错误。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④：习近平新时代中国特色社会主义思想是中国化的马克思主义，与马克思主义并不完全一样，④错误。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②③：央企将在更大范围、更深层次、更高水平加强同各国企业的合作，与各国企业共同培育更多新产业新业态新模式。央企积极推进国际化经营有助于促进国际合作，有利于中国深度融入全球产业分工合作体系，能推动国内国际双循环相互促进格局的形成，故②③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①：央企积极推进国际化经营是为了促进自身发展，形成竞争优势和核心竞争力，培育大型跨国公司不是其目的，①错误。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④：加快形成以国内大循环为主体、国内国际双循环相互促进的新发展格局，④错误。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①：中国人民银行下调存款准备金率与存贷款基准利率，保持货币信贷合理增长，有利于增加金融机构信贷总量，从而提高金融机构信贷投放能力，但信贷总量增强，未必会增强投资能力，①传导错误。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②：下调存款准备金率与存贷款基准利率，引导金融机构加大对企业的支持力度，有利于市场主体降低融资成本，将更多资金投向科研，提升创新能力，助力提高经济效益，②传导正确。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③：下调存款准备金率与存贷款基准利率并不涉及拓宽融资渠道的问题，③排除。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实施“减税降费+缓税缓费+留抵退税”政策，有利于更大力度降低企业税费负担，引导企业加强关键领域核心技术攻关，减少无效和低端供给，提高优质产品和服务供给能力，从而拉动消费升级、促进经济发展，④传导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①④：广平县胜营镇采取“合作社+农场+订单+技术服务”的模式，实现了西兰花种苗培育、种植、储存、销售一条龙服务，助力农民增收和集体经济发展。此举有利于提升集体经济效率，壮大集体经济，推进公有制发展壮大，推动乡村振兴，①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②：该地采取的新的经营模式，并没有改变农村土地的所有权性质，农村土地仍然是集体所有，②错误。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③：国有经济在国民经济中发挥主导作用，③错误。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①②：“十分钟违停免罚”体现柔性执法，是坚持文明执法的具体体现，有利于树立政府的良好形象，①②正确。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③：司法机关坚持司法为民理念，③错误。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④：维护驾驶人的正当权益与“十分钟违停免罚” 目的无关，④不符合题意。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①④：为了实现司法公正，司法机关应该在司法活动的过程和结果中坚持和体现公平正义，以事实为根据，做到事实认定符合客观真相，①④正确。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②：司法机关在司法活动中，不得执行任何领导干部违反法定职责或法定程序、有碍司法公正的要求，排除②。</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③：合理设定权利与义务，是对立法机关进行科学立法的要求，不是对司法机关的要求，排除③。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w:t>
      </w:r>
      <w:r>
        <w:rPr>
          <w:rFonts w:hint="default" w:ascii="Times New Roman" w:hAnsi="Times New Roman" w:cs="Times New Roman"/>
        </w:rPr>
        <w:t>①③：推动全民守法需要加强普法工作，以习近平法治思想为统领，坚持与法治实践深度融合，同时营造守法光荣、违法可耻的社会氛围，调动公民守法积极性，①③正确。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②：我国已经形成了中国特色社会主义法律体系，②错误。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④：公民的权利平等、义务平等，不等于公民的权利相同、义务相同，④错误。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①④：习近平总书记强调，“铸牢中华民族共同体意识是新时代党的民族工作的“纲’，所有工作要向此聚焦”。这体现了人的意识活动具有目的性和自觉选择性；该要求为做好新时代党的民族工作指明了前进方向。这体现了正确的意识对事物的发展起促进作用，①④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②：意识依赖于物质，但物质不依赖于人的意识，②错误。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③：人们对客观事物的认识并不都是正确的，但材料反映的的却是正确的认识，③与题意不符。</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①：马克思主义哲学需要与我国的实际相结合，这表明对待马克思主义哲学必须坚持与时俱进、实事求是，①正确。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②：马克思主义是随着实践的发展而发展的开放的理论体系,②错误。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③：我国不同领导人都强调坚持马克思主义中国化时代化，这说明马克思主义是中国共产党的根本指导思想，③正确。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④：实践的观点是马克思主义哲学的首要观点,④说法错误。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①②：该剧扎根生活，反映现实，实现了社会价值与市场价值的双向统一，收视和口碑一路“狂飙”，可见坚持以人民为中心的创作导向，发展人民喜闻乐见的大众文化，①②符合题意。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③：社会主义核心价值观引领社会文化思潮，不是影视创作引领社会文化思潮，③排除。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④：任何文艺作品或多或少会对历史事实有艺术加工和改编，并不是还原历史真实经历，④排除。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②④：外交部部长强调中美应相互尊重、和平共处、合作共赢，不接受美国的遏制打压，这是基于维护国家利益是主权国家对外活动的出发点和落脚点，任何国家不应以维护本国国家利益为由，侵犯别国的利益，②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①：和平是发展的前提，发展是和平的基础，①错误。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③：中国是维护世界和平与稳定的积极因素和坚定力量，“主导力量”错误，③排除。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A：德国是议会制国家，政府总揽国家的行政权力，而不是与总统分享，A错误。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B：从国家结构形式看，德国属于联邦制国家；从政权组织形式看，德国属于议会制国家，B错误。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C：德国是议会制国家，政府以议会为基础产生，政府总理一般由在议会中占多数席位的政党或政党联盟的领袖担任，C正确。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D：中华人民共和国国务院总理和德国总理分别是中德两国政府首脑，D错误。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①：法律规定遗产的第一顺序继承人为配偶、子女、父母，第二顺序继承人为兄弟姐妹、祖父母、外祖父母，女婿不属于法定继承人，①错误。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②③：法律规定“立有数份遗嘱，内容相抵触的，以最后的遗嘱为准”，第二份遗嘱是李大爷在神智清楚的情况下亲笔书写的，该遗嘱有效，女婿可以继承李大爷的两套房产，②③符合题意。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④：《民法典》规定：“立有数份遗嘱，内容相抵触的，以最后的遗嘱为准”，根据第二份自书遗嘱，女婿可以继承李大爷的两套房产，④错误。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w:t>
      </w:r>
      <w:r>
        <w:rPr>
          <w:rFonts w:hint="default" w:ascii="Times New Roman" w:hAnsi="Times New Roman" w:cs="Times New Roman"/>
        </w:rPr>
        <w:t>①：小王13岁，属于限制民事行为能力人，其打赏行为超过了自己的判断能力，需要待其法定监护人同意或追认才有效，故①表述错误。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②：由于小王打赏的金额较大，其打赏行为超过了自己的判断能力，该合同属于效力待确认合同，如其监护人不同意或不追认，则小王的行为无效，故②表述正确。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③：小王的父亲作为小王的监护人，应当履行好监护人的义务，小王的多次打赏行为未被父亲及时发现察觉，小王的父亲应当承担部分责任，故③表述正确。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④：生效的调解协议书具有法律效力不能上诉，如有证据证明调解违反自愿原则或者调解协议的内容违反法律的，可以申请再审，故④表述错误。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②④：以前种地没有机械化，也没有先进的科学技术，人们通过归纳推理，寻找认识对象与有关现象间因果联系得出的一般性结论，积累经验，更好服务日常的生产活动，这说明推理能够帮助人们发现认识对象的规律和本质，②④符合题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①：材料体现的是不完全归纳推理，不完全归纳推理考察的是某类事物的部分对象，材料中“全部现象”说法错误，①排除。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③：不完全归纳推理是由个别到一般的推理，③错误。</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cs="Times New Roman"/>
        </w:rPr>
        <w:t>(1)①中国共产党是执政党，是中国特色社会主义事业的领导核心。中国共产党领导是中国特色社会主义最本质的特征，是中国特色社会主义制度的最大优势。中国共产党是我国最高政治领导力量。浙江人民在浙江省委的带领下抓住机遇，创新高增长模式，形成富有特色的“地瓜经济”，充分发挥了党总揽全局、协调各方的领导核心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①开放带来进步，开放是国家繁荣发展的必由之路。浙江抓住经济全球化及国际分工机遇，坚持高水平“走出去”闯天下与高质量“引进来”强浙江有机统一，融入世界经济的趋势。②建设多元平衡、安全高效的全面开放体系。发展更高层次开放型经济，推动开放朝着优化结构、拓展深度、提高效益方向转变。浙江加快由贸行天下向产行天下、智行天下跃进。③着力发展开放型经济，提高浙江经济体系的国际竞争力，浙江加快向更好利用两个市场、两种资源转变。</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(1)①认识具有反复性。受主客观条件的制约，中国共产党人对中国式现代化经历了漫长艰辛和逐步完善的过程；②认识具有无限性。追求真理是一个永无止境的过程。中国共产党人立足不同时期的社会实践，不断深化对中国式现代化的认识，并将这个认识在中国式现代化的发展进程中不断深化发展；③认识运动是一种波浪式前进或螺旋式上升的过程，真理在发展中不断超越自身。从四个现代化到中国式现代化，中国共产党人对中国式现代化的认识不断向前发展；④追求真理是一个过程，要求我们必须与时俱进、开拓创新，在中国特色社会主义的伟大实践中不断认识和发展真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①维护世界和平、促进共同发展是我国外交政策的宗旨。中国式现代化是走和平发展道路的现代化，推动构建人类命运共同体；②维护我国的主权、安全和发展利益，促进世界的和平与发展，是我国外交政策的基本目标。中国式现代化在坚定维护世界和平与发展中谋求自身发展，又以自身发展更好维护世界和平与发展；③和平共处五项原则是我国外交政策的基石，是我国对外关系的基本准则。我们建设中国式现代化坚定站在历史正确的一边、站在人类文明进步的一边，高举和平、发展、合作、共赢旗帜。</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cs="Times New Roman"/>
        </w:rPr>
        <w:t>(1)乙方不承担违约责任，根据合同法的规定，因不可抗力不能履行合同的，当事人的违约行为可以免责。突发禽流感属于不可抗力，故乙方的违约行为可以免责。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法院不会受理乙方的诉讼请求，我国仲裁实行“或裁或审”、“一裁终局”制度，乙方已经选择仲裁解决纠纷，并且仲裁机构已经做出裁决，再向法院起诉就违背了“或裁或审”、“一裁终局”制度，故法院不受理。</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w:t>
      </w:r>
      <w:r>
        <w:rPr>
          <w:rFonts w:hint="eastAsia" w:cs="Times New Roman"/>
          <w:lang w:eastAsia="zh-CN"/>
        </w:rPr>
        <w:t xml:space="preserve">. </w:t>
      </w:r>
      <w:r>
        <w:rPr>
          <w:rFonts w:hint="default" w:ascii="Times New Roman" w:hAnsi="Times New Roman" w:cs="Times New Roman"/>
        </w:rPr>
        <w:t>(1)①事物发展的渐进性和飞跃性是相互区别又相互联系的。②渐进性中包含着飞跃性，渐进性的每一步进展都走向飞跃性，经过一代又一代航天人创新攻关、接续奋斗，中国航天才取得了从无人到一人一天进入太空再到多人多天进入太空，从舱内实验到太空行走再到驻留太空的成就。正是因为有渐进性的积累，才产生了飞跃性，航天事业每一步成功都是渐进性积累从而产生的飞跃性，所以飞跃性中又包含着渐进性，同时飞跃性又为航天发展新的渐进性开辟道路，推动中国航天科技不断发展。</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该观点站不住脚。进行类比推理时，类比的根据越多越好根据的相同属性越接近本质属性结论越可靠，前提中确认的属性不应该有与结论相互排斥的属性。该观点只看到中国空间站使用中文，并夸大文字在载人航天科技中的作用，却对我们开放的姿态和做法视而不见，中国空间站拥有一系列先进技术，可以和国际空间站一样满足国际航天科技合作的要求。</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br w:type="page"/>
      </w:r>
      <w:bookmarkStart w:id="0" w:name="_GoBack"/>
      <w:bookmarkEnd w:id="0"/>
    </w:p>
    <w:sectPr>
      <w:headerReference r:id="rId5" w:type="default"/>
      <w:footerReference r:id="rId7" w:type="default"/>
      <w:headerReference r:id="rId6" w:type="even"/>
      <w:footerReference r:id="rId8" w:type="even"/>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4101557E"/>
    <w:rsid w:val="69B3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49"/>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12111</Words>
  <Characters>12270</Characters>
  <Lines>0</Lines>
  <Paragraphs>0</Paragraphs>
  <TotalTime>3</TotalTime>
  <ScaleCrop>false</ScaleCrop>
  <LinksUpToDate>false</LinksUpToDate>
  <CharactersWithSpaces>12379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king   hero</cp:lastModifiedBy>
  <dcterms:modified xsi:type="dcterms:W3CDTF">2023-07-23T12:43:00Z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6C5704181ACC4626B7E0F2355C5A0743_12</vt:lpwstr>
  </property>
</Properties>
</file>