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default" w:ascii="Times New Roman" w:hAnsi="Times New Roman" w:eastAsia="黑体" w:cs="Times New Roman"/>
          <w:snapToGrid w:val="0"/>
          <w:color w:val="000000"/>
          <w:kern w:val="0"/>
          <w:sz w:val="40"/>
          <w:szCs w:val="40"/>
          <w:lang w:val="en-US" w:eastAsia="zh-CN"/>
        </w:rPr>
      </w:pPr>
      <w:r>
        <w:rPr>
          <w:rFonts w:hint="eastAsia" w:ascii="Times New Roman" w:hAnsi="Times New Roman" w:eastAsia="黑体" w:cs="Times New Roman"/>
          <w:snapToGrid w:val="0"/>
          <w:color w:val="000000"/>
          <w:kern w:val="0"/>
          <w:sz w:val="40"/>
          <w:szCs w:val="40"/>
          <w:lang w:val="en-US" w:eastAsia="zh-CN"/>
        </w:rPr>
        <w:drawing>
          <wp:anchor distT="0" distB="0" distL="114300" distR="114300" simplePos="0" relativeHeight="251659264" behindDoc="0" locked="0" layoutInCell="1" allowOverlap="1">
            <wp:simplePos x="0" y="0"/>
            <wp:positionH relativeFrom="page">
              <wp:posOffset>12496800</wp:posOffset>
            </wp:positionH>
            <wp:positionV relativeFrom="topMargin">
              <wp:posOffset>12306300</wp:posOffset>
            </wp:positionV>
            <wp:extent cx="254000" cy="4826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254000" cy="482600"/>
                    </a:xfrm>
                    <a:prstGeom prst="rect">
                      <a:avLst/>
                    </a:prstGeom>
                  </pic:spPr>
                </pic:pic>
              </a:graphicData>
            </a:graphic>
          </wp:anchor>
        </w:drawing>
      </w:r>
      <w:r>
        <w:rPr>
          <w:rFonts w:hint="eastAsia" w:ascii="Times New Roman" w:hAnsi="Times New Roman" w:eastAsia="黑体" w:cs="Times New Roman"/>
          <w:snapToGrid w:val="0"/>
          <w:color w:val="000000"/>
          <w:kern w:val="0"/>
          <w:sz w:val="40"/>
          <w:szCs w:val="40"/>
          <w:lang w:val="en-US" w:eastAsia="zh-CN"/>
        </w:rPr>
        <w:t>2024届新高三开学摸底考试卷</w:t>
      </w:r>
      <w:r>
        <w:rPr>
          <w:rFonts w:hint="eastAsia" w:eastAsia="黑体" w:cs="Times New Roman"/>
          <w:snapToGrid w:val="0"/>
          <w:color w:val="000000"/>
          <w:kern w:val="0"/>
          <w:sz w:val="40"/>
          <w:szCs w:val="40"/>
          <w:lang w:val="en-US" w:eastAsia="zh-CN"/>
        </w:rPr>
        <w:t>（全国通用新教材）</w:t>
      </w:r>
    </w:p>
    <w:p>
      <w:pPr>
        <w:shd w:val="clear" w:color="auto" w:fill="auto"/>
        <w:adjustRightInd w:val="0"/>
        <w:spacing w:line="360" w:lineRule="auto"/>
        <w:jc w:val="center"/>
        <w:textAlignment w:val="center"/>
        <w:rPr>
          <w:rFonts w:eastAsia="楷体"/>
          <w:kern w:val="0"/>
        </w:rPr>
      </w:pPr>
      <w:r>
        <w:rPr>
          <w:rFonts w:hint="eastAsia" w:eastAsia="楷体"/>
          <w:kern w:val="0"/>
        </w:rPr>
        <w:t>（考试时间：</w:t>
      </w:r>
      <w:r>
        <w:rPr>
          <w:rFonts w:hint="eastAsia" w:eastAsia="楷体"/>
          <w:kern w:val="0"/>
          <w:lang w:val="en-US" w:eastAsia="zh-CN"/>
        </w:rPr>
        <w:t>75</w:t>
      </w:r>
      <w:r>
        <w:rPr>
          <w:rFonts w:hint="eastAsia" w:eastAsia="楷体"/>
          <w:kern w:val="0"/>
        </w:rPr>
        <w:t>分钟</w:t>
      </w:r>
      <w:r>
        <w:rPr>
          <w:rFonts w:eastAsia="楷体"/>
          <w:kern w:val="0"/>
        </w:rPr>
        <w:t xml:space="preserve">  </w:t>
      </w:r>
      <w:r>
        <w:rPr>
          <w:rFonts w:hint="eastAsia" w:eastAsia="楷体"/>
          <w:kern w:val="0"/>
        </w:rPr>
        <w:t>试卷满分：100分）</w:t>
      </w:r>
    </w:p>
    <w:p>
      <w:pPr>
        <w:shd w:val="clear" w:color="auto" w:fill="auto"/>
        <w:overflowPunct w:val="0"/>
        <w:adjustRightInd w:val="0"/>
        <w:spacing w:line="360" w:lineRule="auto"/>
        <w:ind w:left="420" w:hanging="430" w:hangingChars="200"/>
        <w:textAlignment w:val="center"/>
        <w:rPr>
          <w:rFonts w:eastAsia="黑体"/>
          <w:b/>
          <w:spacing w:val="2"/>
          <w:kern w:val="0"/>
          <w:szCs w:val="21"/>
        </w:rPr>
      </w:pPr>
      <w:r>
        <w:rPr>
          <w:rFonts w:hint="eastAsia" w:eastAsia="黑体"/>
          <w:b/>
          <w:spacing w:val="2"/>
          <w:kern w:val="0"/>
          <w:szCs w:val="21"/>
        </w:rPr>
        <w:t>注意事项：</w:t>
      </w:r>
    </w:p>
    <w:p>
      <w:pPr>
        <w:shd w:val="clear" w:color="auto" w:fill="auto"/>
        <w:overflowPunct w:val="0"/>
        <w:adjustRightInd w:val="0"/>
        <w:spacing w:line="360" w:lineRule="auto"/>
        <w:ind w:left="420" w:leftChars="200"/>
        <w:textAlignment w:val="center"/>
        <w:rPr>
          <w:rFonts w:eastAsia="黑体"/>
          <w:spacing w:val="2"/>
          <w:kern w:val="0"/>
          <w:szCs w:val="21"/>
        </w:rPr>
      </w:pPr>
      <w:r>
        <w:rPr>
          <w:rFonts w:eastAsia="黑体"/>
          <w:spacing w:val="2"/>
          <w:kern w:val="0"/>
          <w:szCs w:val="21"/>
        </w:rPr>
        <w:t>1</w:t>
      </w:r>
      <w:r>
        <w:rPr>
          <w:rFonts w:hint="eastAsia" w:eastAsia="黑体"/>
          <w:spacing w:val="2"/>
          <w:kern w:val="0"/>
          <w:szCs w:val="21"/>
        </w:rPr>
        <w:t>．答卷前，考生务必将自己的姓名、准考证号等填写在答题卡和试卷指定位置上。</w:t>
      </w:r>
    </w:p>
    <w:p>
      <w:pPr>
        <w:shd w:val="clear" w:color="auto" w:fill="auto"/>
        <w:overflowPunct w:val="0"/>
        <w:adjustRightInd w:val="0"/>
        <w:spacing w:line="360" w:lineRule="auto"/>
        <w:ind w:left="420" w:leftChars="200"/>
        <w:textAlignment w:val="center"/>
        <w:rPr>
          <w:rFonts w:eastAsia="黑体"/>
          <w:spacing w:val="2"/>
          <w:kern w:val="0"/>
          <w:szCs w:val="21"/>
        </w:rPr>
      </w:pPr>
      <w:r>
        <w:rPr>
          <w:rFonts w:eastAsia="黑体"/>
          <w:spacing w:val="2"/>
          <w:kern w:val="0"/>
          <w:szCs w:val="21"/>
        </w:rPr>
        <w:t>2</w:t>
      </w:r>
      <w:r>
        <w:rPr>
          <w:rFonts w:hint="eastAsia" w:eastAsia="黑体"/>
          <w:spacing w:val="2"/>
          <w:kern w:val="0"/>
          <w:szCs w:val="21"/>
        </w:rPr>
        <w:t>．回答选择题时，选出每小题答案后，用铅笔把答题卡上对应题目的答案标号涂黑。</w:t>
      </w:r>
      <w:bookmarkStart w:id="0" w:name="_GoBack"/>
      <w:bookmarkEnd w:id="0"/>
      <w:r>
        <w:rPr>
          <w:rFonts w:hint="eastAsia" w:eastAsia="黑体"/>
          <w:spacing w:val="2"/>
          <w:kern w:val="0"/>
          <w:szCs w:val="21"/>
        </w:rPr>
        <w:t>如</w:t>
      </w:r>
    </w:p>
    <w:p>
      <w:pPr>
        <w:shd w:val="clear" w:color="auto" w:fill="auto"/>
        <w:overflowPunct w:val="0"/>
        <w:adjustRightInd w:val="0"/>
        <w:spacing w:line="360" w:lineRule="auto"/>
        <w:ind w:left="420" w:hanging="428" w:hangingChars="200"/>
        <w:textAlignment w:val="center"/>
        <w:rPr>
          <w:rFonts w:eastAsia="黑体"/>
          <w:spacing w:val="2"/>
          <w:kern w:val="0"/>
          <w:szCs w:val="21"/>
        </w:rPr>
      </w:pPr>
      <w:r>
        <w:rPr>
          <w:rFonts w:hint="eastAsia" w:eastAsia="黑体"/>
          <w:spacing w:val="2"/>
          <w:kern w:val="0"/>
          <w:szCs w:val="21"/>
        </w:rPr>
        <w:t>需改动，用橡皮擦干净后，再选涂其他答案标号。回答非选择题时，将答案写在答题卡上。写</w:t>
      </w:r>
    </w:p>
    <w:p>
      <w:pPr>
        <w:shd w:val="clear" w:color="auto" w:fill="auto"/>
        <w:overflowPunct w:val="0"/>
        <w:adjustRightInd w:val="0"/>
        <w:spacing w:line="360" w:lineRule="auto"/>
        <w:ind w:left="420" w:hanging="428" w:hangingChars="200"/>
        <w:textAlignment w:val="center"/>
        <w:rPr>
          <w:rFonts w:eastAsia="黑体"/>
          <w:spacing w:val="2"/>
          <w:kern w:val="0"/>
          <w:szCs w:val="21"/>
        </w:rPr>
      </w:pPr>
      <w:r>
        <w:rPr>
          <w:rFonts w:hint="eastAsia" w:eastAsia="黑体"/>
          <w:spacing w:val="2"/>
          <w:kern w:val="0"/>
          <w:szCs w:val="21"/>
        </w:rPr>
        <w:t>在本试卷上无效。</w:t>
      </w:r>
    </w:p>
    <w:p>
      <w:pPr>
        <w:shd w:val="clear" w:color="auto" w:fill="auto"/>
        <w:overflowPunct w:val="0"/>
        <w:adjustRightInd w:val="0"/>
        <w:spacing w:line="360" w:lineRule="auto"/>
        <w:ind w:left="420" w:leftChars="200"/>
        <w:textAlignment w:val="center"/>
        <w:rPr>
          <w:rFonts w:eastAsia="黑体"/>
          <w:spacing w:val="2"/>
          <w:kern w:val="0"/>
          <w:szCs w:val="21"/>
        </w:rPr>
      </w:pPr>
      <w:r>
        <w:rPr>
          <w:rFonts w:eastAsia="黑体"/>
          <w:spacing w:val="2"/>
          <w:kern w:val="0"/>
          <w:szCs w:val="21"/>
        </w:rPr>
        <w:t>3</w:t>
      </w:r>
      <w:r>
        <w:rPr>
          <w:rFonts w:hint="eastAsia" w:eastAsia="黑体"/>
          <w:spacing w:val="2"/>
          <w:kern w:val="0"/>
          <w:szCs w:val="21"/>
        </w:rPr>
        <w:t>．考试结束后，将本试卷和答题卡一并交回</w:t>
      </w:r>
    </w:p>
    <w:p>
      <w:pPr>
        <w:shd w:val="clear" w:color="auto" w:fill="auto"/>
        <w:overflowPunct w:val="0"/>
        <w:adjustRightInd w:val="0"/>
        <w:spacing w:line="360" w:lineRule="auto"/>
        <w:jc w:val="left"/>
        <w:textAlignment w:val="center"/>
        <w:rPr>
          <w:rFonts w:hint="eastAsia" w:ascii="宋体" w:hAnsi="宋体" w:cs="宋体"/>
          <w:b/>
        </w:rPr>
      </w:pPr>
      <w:r>
        <w:rPr>
          <w:rFonts w:hint="eastAsia" w:eastAsia="黑体"/>
          <w:kern w:val="0"/>
          <w:szCs w:val="21"/>
        </w:rPr>
        <w:t>一、选择题：本题共</w:t>
      </w:r>
      <w:r>
        <w:rPr>
          <w:rFonts w:hint="eastAsia" w:eastAsia="黑体"/>
          <w:kern w:val="0"/>
          <w:szCs w:val="21"/>
          <w:lang w:val="en-US" w:eastAsia="zh-CN"/>
        </w:rPr>
        <w:t>16</w:t>
      </w:r>
      <w:r>
        <w:rPr>
          <w:rFonts w:hint="eastAsia" w:eastAsia="黑体"/>
          <w:kern w:val="0"/>
          <w:szCs w:val="21"/>
        </w:rPr>
        <w:t>小题，每小题</w:t>
      </w:r>
      <w:r>
        <w:rPr>
          <w:rFonts w:hint="eastAsia" w:eastAsia="黑体"/>
          <w:kern w:val="0"/>
          <w:szCs w:val="21"/>
          <w:lang w:val="en-US" w:eastAsia="zh-CN"/>
        </w:rPr>
        <w:t>3</w:t>
      </w:r>
      <w:r>
        <w:rPr>
          <w:rFonts w:hint="eastAsia" w:eastAsia="黑体"/>
          <w:kern w:val="0"/>
          <w:szCs w:val="21"/>
        </w:rPr>
        <w:t>分，共</w:t>
      </w:r>
      <w:r>
        <w:rPr>
          <w:rFonts w:hint="eastAsia" w:eastAsia="黑体"/>
          <w:kern w:val="0"/>
          <w:szCs w:val="21"/>
          <w:lang w:val="en-US" w:eastAsia="zh-CN"/>
        </w:rPr>
        <w:t>48</w:t>
      </w:r>
      <w:r>
        <w:rPr>
          <w:rFonts w:hint="eastAsia" w:eastAsia="黑体"/>
          <w:kern w:val="0"/>
          <w:szCs w:val="21"/>
        </w:rPr>
        <w:t>分。在每小题给出的四个选项中只有一项是符合题目要求的。</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新石器早、中期墓葬中的随葬品,大多是墓主人生前的“私人”用品,而新石器晚期的龙山文化遗址中则出现了不同规格的墓葬形制,随葬品数量不等,甚至出现象牙和玉料等彰显墓主人身份的物件。这一变化说明当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A．礼制观念萌发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B．手工业技术高超</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C．国家形态初具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D．血缘氏族被打破</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【答案】A</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的设问词，可知这是本质题。据本题时间信息可知准确时空是：新石器时代（中国）。据本题材料概括得出主要结论是：从新石器时代的早中期到晚期，墓葬陪葬品从多为墓主人“私人”用品，到出现彰显主人身份的物件，体现了等级分化的特征，据所学，礼制具有等级性，礼制观念即具有等级色彩的观念，A项正确。材料的主旨在于体现等级分化色彩，不是手工业技术的程度，排除B项；国家形态即国家政权组织国家的形式，材料没有提及，排除C项；材料并没有体现血缘氏族的发展变化，排除D项。故选A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周代施行于贵族王室社会上层的礼仪到汉代时一变而成为社会各阶层共同遵循的行为规范。汉儒把这些规范归纳为六礼、七教、八政，几乎所有社会成员的行为都能从这庞大复杂的网络体系中找到依据和评价标准。这反映出汉代（</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A．礼乐制度文化得到重建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B．儒学思想走向了世俗化</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C．纲常伦理体系日益完善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D．国家管理能力得到提升</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【答案】D</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设问词可知是本质题。时空是周至汉代（中国）。据材料“汉儒把这些规范归纳为六礼、七教、八政，几乎所有社会成员的行为都能从这庞大复杂的网络体系中找到依据和评价标准”，可知汉代儒生将原先只适用于贵族的礼仪秩序覆盖至整个社会成员，这适应了汉代专制统治强化的需要，也反映国家治理能力得到加强，D项正确；礼乐制度已经不再是专属于贵族阶层的，这说明其并未得到重建，排除A项；礼仪制度覆盖社会各阶层并不等于儒家思想走向世俗化，排除B项；材料中强调了纲常伦理体系的覆盖面，而非体系的完善化，排除C项。故选D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3．唐代的科举制度使得从学校到社会都重视读书、习文、作诗赋和钻习儒家经典，“五尺童子耻于不闻文墨”,这对于结束魏晋以来的清谈学风与玄虚思想具有重要作用。这反映出唐代科举制（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A．仰底扭转了门第观念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B．选拔了实用人才</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C．带动了社会尚学风气</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D．改变了官场风气</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【答案】C</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根据题干设问词，可知是本质题。根据题干关键信息可知准确时空是：唐朝时期的中国。根据材料可知，唐代科举制使得从学校到社会都重视读书写作，“五尺童子耻于不闻文墨”,可见当时社会有着浓厚的尚学风气，C项正确；当时门第观念受到冲击，但是仍然存在，A项说法过于绝对，排除；参加科举的学子研习诗赋和儒家经典，没强调“实用”，排除B项；材料不涉及官场风气，且改变的说法不符合史实，排除D项。故选C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元朝时期，统治者决议“三国各与正统，各系其年号”，确定了宋、辽、金三朝独立成史的原则，修正了南北朝修史时出现的“南书谓北为‘索虏’，北书谓南为‘岛夷’”的弊病。在对三朝历史编纂中，力图用相似的篇幅设置来记录三朝历史发展进程，负责编纂的史官也来自不同民族。这反映出元朝（</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A．“大一统”的政治意识得到强化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B．边疆治理取得了显著成效</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C．开创了为少数民族修史的先例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D．民族交融缓和了社会矛盾</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【答案】A</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的设问词，可知这是推断题。据本题时间信息可知准确时空是：元朝（中国）。据本题材料信息可知，元朝统治者确立宋辽金三朝“各与正统”、独立成史的原则，修正了南北朝修史弊病，任用不同民族史官修史等，反映出元朝“大一统”的政治意识得到强化，A项正确；材料并未反映元朝边疆治理及成效，排除B项；据所学，开创为少数民族修史先例的是西汉司马迁，排除C项；材料没有体现元代民族交融缓和社会矛盾的信息，排除D项。故选A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5．明末，荷兰派遣战船入侵中国沿海，明军连续与荷兰人发生海战，荷兰人最终认输，明朝夺取了从日本到南海的全部东亚制海权。这说明此时明朝（</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A．抗倭取得决定性胜利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B．经济实力不断增强</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C．高度重视重视海洋开发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D．海军实力仍居前列</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【答案】D</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根据“明末，荷兰派遣战船入侵中国沿海，明军连续与荷兰人发生海战，荷兰人最终认输，明朝夺取了从日本到南海的全部东亚制海权。”可得出明朝战胜了荷兰，说明明朝的海上实力还是较强的，D项正确；荷兰不是倭寇，排除A项；材料不能反映经济实力强，也不能体现重视海洋的开发，排除BC项。故选D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中国古代小说即使虚构，也要写上真实的年代、真实的地点，甚至真实的人名。故事是虚构的，故事发生的空间与时间却是真实的；人物是虚构的，人物的名字却是真实的。中国小说的书名常冠以记、传、志之类的字样，如《石头记《水浒传》《东周列国志》等，记、传、志本身就是史书体例的称谓。由此推知，古代小说（</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A．与历史著作具有同等史料价值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B．能够准确记述历史人物的事迹</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C．可以作为一种特殊的史料运用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D．反映出时代对历史叙述的影响</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【答案】C</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设问词，可知这是推断题。据本题时间信息可知准确时空是中国古代。据材料可知，中国古代小说虽然内容是虚构的，但是有些东西是真实的，比如年代、地点、人物名字等，因此我们可以推断出古代小说可以作为一种特殊的史料运用，有一定史料价值，C项正确；A项说法错误，小说虽说有一定史料价值，但明显历史著作史料价值更高，排除A项；B项说法错误，小说中人物的名字是真实的，但是具体的事迹有可能是杜撰的，排除B项；材料不能体现时代对历史叙述的影响，排除D项。故选C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7．古代中国重要传统城市，大都因其政治地位而获得发展，或者是缘于地处交通枢纽与军事要塞。到近代，沿海沿江出现了一些新型城市的崛起，其城市功能发生质的变化。造成这一变化的主要原因是（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A．新的商业贸易迅速发展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B．近代造船业的兴盛</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C．传统城市发展遭遇瓶颈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D．国家治理模式调整</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【答案】A</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设问词，可知这是原因题。据本题时间信息可知准确时空是古代至近代中国。根据题干可知，古代城市的主要功能是政治中心或者军事中心、交通要塞；材料中提到提到近代城市功能发生质变，说明近代城市的功能不是政治中心、军事中心、交通要塞，而是经济功能，A项正确；据所学可知，近代航运多为外国商船，本国制造有限，排除B项；据材料无法推知近代新型城市的崛起是因传统城市发展遭遇瓶颈，排除C项；新型城市是社会发展变化的产物，而非国家治理模式调整，排除D项。故选A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8．同盟会成员创办的《民呼日报》刊发旅沪蜀人檄文：“失川汉铁路，即亡国之本，而卖川汉铁路，即无异卖全国。政府已矣，吾四百兆（四亿）之可怜虫，将奈何！”该文所反映的历史事件（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A．反映出列强势力开始深入内地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B．推动资产阶级革命政党的建立</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C．促进“实业救国”思潮的兴起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D．为武昌起义的发生提供了条件</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【答案】D</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【详解】本题是单类型单项选择题。据本题次题干设问词，可知这是影响题，时空是1911年的武昌。根据材料“失川汉铁路，即亡国之本，而卖川汉铁 路，即无异卖全国。”及所学可知，1910年，英法德美四国银行团逼清政府订立借款修路合同。1911年5月9日，清政府是为了向四国银行团借款用来镇压革命，在邮传大臣盛宣怀的策动下，宣布“铁路国有”政策，将已归商办的川汉、粤汉铁路收归国有。清政府为了镇压革命，不惜丧失国家主权，将铁路收归国有，且大肆派兵屠杀保路人士，通过此举，全国人民充分看清了清政府卖国求荣的本质。以此可知，保路运动为1911年10月武昌起义的发生提供了条件，D项正确；“列强势力开始深入内地”表述与史实不符，第二次鸦片战后，天津条约对长江沿岸通商口岸的开放，破坏中国的内河航运权，标志着列强侵入由沿海进入内地，排除A项；1905年孙中山已经组建了资产阶级性质的革命政党——中国同盟会，排除B项；甲午战败后，民族资产阶级兴起了“实业救国”的思潮，排除C项。故选D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1933年毛泽东在《长岗乡调查》中提到长岗乡人民生活水平和以前相比有了很大的提升，人民群众有肉吃，有衣穿；赣西南（特委）刘士奇的报告中也提到，苏维埃区域的农民在经济上摆脱了以前被剥削的局面，苏维埃政权的建立，带领人民创造了更好的生活。由此可知，中国共产党的土地改革（</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A．适应了民族战争的需要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B．废除了封建土地所有制</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C．提高了农民的生产积极性</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D．体现了社会主义的优越性</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【答案】C</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设问词，可知这是推断题。据本题时间信息可知准确时空是1933年中国。据材料可知，土地改革后“人民群众有肉吃，有衣穿”，“人民创造了更好的生活。”，说明土地改革提高了农民的生产积极性，C项正确；1933年的江西并未涉及民族战争，当时中国社会的主要矛盾是国内的阶级矛盾，并非民族矛盾，排除A项；B项表述符合史实，但是据材料无法得出中国共产党废除了封建土地所有制，排除B项；据材料可知，当时新中国还未建立，谈不上社会主义建设问题，排除D项。故选C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1959年，中国地质工作者在东北松辽盆地发现工业性油流。以王进喜为代表的大庆油田工人开展石油大会战，终于建成了现代化的石油企业。1964年，党中央对全国工业战线提出“工业学大庆”号召。上述事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A．奠定了社会主义工业化基础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B．实现了石油供应的自给自足</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C．塑造了自力更生的创业精神</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D．构建了国家完备的工业体系</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【答案】C</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多类型单项选择题。据本题主题干的提示词，可知这是本质题、影响题。据本题时间信息可知准确时空是：1959年至1964年（中国）。据本题材料信息得出主要结论：“工业学大庆”塑造了自力更生、艰苦奋斗精神，推动了社会主义工业化发展进程，改变了国家面貌，C项正确；一五计划的完成，奠定了社会主义工业化基础，排除A项；进口石油在国家工业发展中占有重要地位，未能实现石油供应的自给自足，排除B项；材料与构建完备工业体系无关，排除D项。故选C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在布托地区（位于尼罗河三角洲）的史前考古层，考古学家发现了两件极具价值的考古文物，一个是泥钉，另一个是抛光的圆锥体，它们都与埃及史前考古层的其他文物和建筑风格迥异。尤其是抛光的圆锥体，很像两河流域乌鲁克时期装饰神庙门脸的手工制品。这表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A．不同文明区域间有一定交流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B．世界早期文明逐渐走向联合</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C．两河流域文明早于埃及文明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D．两河流域的手工业世界领先</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【答案】A</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设问词可知是本质题。时空是古代史（埃及）。据材料“尤其是抛光的圆锥体，很像两河流域乌鲁克时期装饰神庙门脸的手工制品”，可知布托地区出土的抛光的圆锥体，很有可能是通过贸易往来由两河流域被带到地区，也有可能是布托地区的人们学习借鉴了两河流域的制作工艺，但都表明两地区之间存在一定交流，A项正确；材料无法得出世界早期文明逐渐走向联合，排除B项；仅从材料，无法得出两者文明的早晚，排除C项；仅从材料，无法判定两河流域的手工业世界领先，排除D项。故选A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新航路开辟后，西班牙通过殖民扩张获得了大量的黄金白银，但人们执着于投资卡斯蒂利亚的政府债券，而非投资商业。当政府债券给出百分之七的利率时，资金就流向它们；当利率下调到百分之五时，资金就会流到土地上。据此可知，这一现象（</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A．使西班牙成为世界中心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B．促进了西班牙资本主义发展</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C．阻碍了西班牙社会转型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D．根源于世界市场的初步形成</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【答案】C</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的设问词，可知这是推断题。据本题时间信息可知准确时空是：近代（西班牙）。据本题材料概括得出主要结论是：新航路开辟后，西班牙国内资金更多流向政府债券或土地，而不是国内商业，这不利于资本主义工商业的扩大再生产，从而制约了西班牙资本主义经济的发展和社会转型，C项正确；材料没有反映新航路开辟后世界中心的变化，无法得出西班牙成为世界中心的结论，排除A项；资金流向政府债权，没有转化为用于扩大生产，这不利于资本主义经济的发展，排除B项；世界市场初步形成于第一次工业革命后，排除D项。故选C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13．1685年法国政府宣布新教非法后,成千上万的法国新教徒为避难移居英国,他们中包括许多技术工匠，这些工匠带去的商业、工业和金融上的新技巧很快在鼓励专利发明的英国实现了本土化并被广泛推广。这反映了在当时的英国（</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A．工匠精神决定经济发展的面貌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B．发生工业革命的条件已经成熟</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C．多种因素共同为经济转型奠基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D．宗教改革助推社会经济的发展</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【答案】C</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的设问词，可知这是本质题。据本题时间信息可知准确时空是：1685年（法国、英国）。根据材料可知，法国新教徒为避难移居英国，为英国带去商业、工业和金融上的新技巧，在英国本土因素的共同作用下，推动了英国工业革命的开展，反映了多种因素共同为英国经济转型奠基，C项正确；工匠精神影响经济发展，“决定”一说太绝对，排除A项；材料强调多种因素共同为英国经济转型奠基，B项不符合材料主旨，排除B项；宗教改革助推了社会经济的发展，但不符合材料主旨，材料强调多种因素共同为英国经济转型奠基，排除D项。故选C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有学者在对1918-1938年世界历史的反思时认为，这是“二十年虚假而又短暂的和平”时期，“和平既不是建立在惩罚的基础上，也不是建立在和解的基础上，这是历史上的重大失败。”这主要反映出一战后的和平（</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A．孕育了新的危机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B．实现了冲突化解</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C．损害了大国利益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D．改变了世界格局</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【答案】A</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【详解】本题是单类型单项选择题。据本题主题干的设问词，可知这是本质题。据本题时间信息可知准确时空是：1918-1938年（世界）。根据材料“二十年虚假而又短暂的和平” “和平既不是建立在惩罚的基础上，也不是建立在和解的基础上，这是历史上的重大失败。”并结合所学可知，1919年巴黎和会召开，英国和法国、美国主导了 会议，与德国等战败国签订了一系列条约，构成了凡尔赛体系。1921年至1922年，召开了华盛顿会议，由美国主导，会上签订了《九国公约》等一系列条约，构成了华盛顿体系。 凡尔赛—华盛顿体系并没有完全消除帝国主义国家之间的矛盾，反而使一些矛盾加剧，为再次爆发战争埋下了隐患，故一战后的和平孕育了新的危机，A项正确；一战后的和平并未实现了冲突化解，排除B项；凡尔赛—华盛顿体系维护的仍是大国的利益，排除C项；凡尔赛—华盛顿体系确立了帝国主义在欧洲、西亚、非洲、东亚以及太平洋地区的统治秩序，是一战后帝国主义国家重新瓜分世界，奴役殖民地半殖民地人民的体系，并未改变世界格局，排除D项。故选A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20世纪60年代，教皇保罗二世认为欧洲应该首先是一个基督教的欧洲；1983年的“所罗门宣言”建议把一个共同的文化遗产有意识地确定为欧洲认同的一个因素；1997年的《阿姆斯特丹条约》强调了欧盟的统一公民资格和防务认同。“欧洲认同”理念（</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A．推动欧洲一体化深入发展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B．弥合了欧洲的文化差异</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C．旨在复兴欧洲的古典文化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D．实现对民族界限的超越</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【答案】A</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为单类型多项选择题。根据选项“旨在”“推动”等词汇可知，这是目的题、影响题。时空范围为20世纪60年代以来的欧洲。20世纪60年代起，欧洲不同力量从宗教认同、文化认同等观念进一步阐释欧洲一体化，这有助于推动欧洲一体化从经济领域深入到文化层面，推动一体化的深入发展，A项正确；B项中的“弥合”表述绝对，排除B项；欧洲一体化的文化阐释并不等同于复兴古典文化，排除C项；“欧洲认同”观念有助于超越民族界限，但是尚未实现，排除D项。故选A项。</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16．世界遗产委员会对安提瓜古城的评价是：安提瓜古城原址创建于16世纪早期，建在海拔逾1500米的火山环绕的山谷之中，处于地震带内：它在1773年一场大地震中遭到严重破坏，但其主要建筑的遗迹却保留下来。这座城池格局的灵感源自意大利文艺复兴时期，在至少三个世纪内建成了大批庄严隆重、装饰华丽的卓越建筑，凸显空间感与立体感特质，成为中美洲巴洛克艺术的典范。该评价（</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A．肯定了美洲土著文明价值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B．突出文明交流的历史印记</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C．促进了文明之间深入交流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D．说明了美洲文明的多样化</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【答案】B</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是单类型单项选择题。据本题主题干的设问词，可知这是正向题。据本题时间信息可知准确时空是：16世纪早期安提瓜古城。根据“这座城池格局的灵感源自意大利文艺复兴时期，在至少三个世纪内建成了大批庄严隆重、装饰华丽的卓越建筑，凸显空间感与立体感特质”可知世界遗产委员会认为安提瓜古城的设计受到意大利文艺复兴的影响，由此体现了美洲和欧洲之间的文化交流，所以这一评价突出了文明交流的历史印记，B项正确；这一评价突出了文明的交流，并不是肯定美洲土著文明的价值，排除A项；这一评价是肯定文明交流，而不是促进文明交流，更不是在说明美洲文明的多样化，排除CD项。故选B项。</w:t>
      </w:r>
    </w:p>
    <w:p>
      <w:pPr>
        <w:shd w:val="clear" w:color="auto" w:fill="auto"/>
        <w:jc w:val="left"/>
        <w:textAlignment w:val="center"/>
        <w:rPr>
          <w:rFonts w:hint="default" w:ascii="宋体" w:hAnsi="宋体" w:eastAsia="宋体" w:cs="宋体"/>
          <w:b/>
          <w:i w:val="0"/>
          <w:sz w:val="21"/>
          <w:lang w:val="en-US" w:eastAsia="zh-CN"/>
        </w:rPr>
      </w:pPr>
      <w:r>
        <w:rPr>
          <w:rFonts w:ascii="宋体" w:hAnsi="宋体" w:eastAsia="宋体" w:cs="宋体"/>
          <w:b/>
          <w:i w:val="0"/>
          <w:sz w:val="21"/>
        </w:rPr>
        <w:t>二、材料分析题</w:t>
      </w:r>
      <w:r>
        <w:rPr>
          <w:rFonts w:hint="eastAsia" w:ascii="宋体" w:hAnsi="宋体" w:cs="宋体"/>
          <w:b/>
          <w:i w:val="0"/>
          <w:sz w:val="21"/>
          <w:lang w:eastAsia="zh-CN"/>
        </w:rPr>
        <w:t>：</w:t>
      </w:r>
      <w:r>
        <w:rPr>
          <w:rFonts w:hint="eastAsia" w:ascii="宋体" w:hAnsi="宋体" w:cs="宋体"/>
          <w:b/>
          <w:i w:val="0"/>
          <w:sz w:val="21"/>
          <w:lang w:val="en-US" w:eastAsia="zh-CN"/>
        </w:rPr>
        <w:t>共4小题，共52分。</w:t>
      </w:r>
    </w:p>
    <w:p>
      <w:pPr>
        <w:shd w:val="clear" w:color="auto" w:fill="auto"/>
        <w:spacing w:line="360" w:lineRule="auto"/>
        <w:jc w:val="left"/>
        <w:textAlignment w:val="center"/>
      </w:pPr>
      <w:r>
        <w:t>17．阅读材料，完成下列要求。</w:t>
      </w:r>
      <w:r>
        <w:rPr>
          <w:rFonts w:hint="eastAsia"/>
          <w:lang w:eastAsia="zh-CN"/>
        </w:rPr>
        <w:t>（</w:t>
      </w:r>
      <w:r>
        <w:rPr>
          <w:rFonts w:hint="eastAsia"/>
          <w:lang w:val="en-US" w:eastAsia="zh-CN"/>
        </w:rPr>
        <w:t>14分</w:t>
      </w:r>
      <w:r>
        <w:rPr>
          <w:rFonts w:hint="eastAsia"/>
          <w:lang w:eastAsia="zh-CN"/>
        </w:rPr>
        <w:t>）</w:t>
      </w:r>
    </w:p>
    <w:p>
      <w:pPr>
        <w:shd w:val="clear" w:color="auto" w:fill="auto"/>
        <w:spacing w:line="360" w:lineRule="auto"/>
        <w:ind w:firstLine="420"/>
        <w:jc w:val="left"/>
        <w:textAlignment w:val="center"/>
      </w:pPr>
      <w:r>
        <w:rPr>
          <w:rFonts w:ascii="楷体" w:hAnsi="楷体" w:eastAsia="楷体" w:cs="楷体"/>
        </w:rPr>
        <w:t>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92"/>
        <w:gridCol w:w="569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pPr>
            <w:r>
              <w:rPr>
                <w:rFonts w:ascii="楷体" w:hAnsi="楷体" w:eastAsia="楷体" w:cs="楷体"/>
              </w:rPr>
              <w:t>时期</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pPr>
            <w:r>
              <w:rPr>
                <w:rFonts w:ascii="楷体" w:hAnsi="楷体" w:eastAsia="楷体" w:cs="楷体"/>
              </w:rPr>
              <w:t>史料</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pPr>
            <w:r>
              <w:rPr>
                <w:rFonts w:ascii="楷体" w:hAnsi="楷体" w:eastAsia="楷体" w:cs="楷体"/>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rPr>
                <w:rFonts w:ascii="楷体" w:hAnsi="楷体" w:eastAsia="楷体" w:cs="楷体"/>
              </w:rPr>
            </w:pPr>
            <w:r>
              <w:rPr>
                <w:rFonts w:ascii="楷体" w:hAnsi="楷体" w:eastAsia="楷体" w:cs="楷体"/>
              </w:rPr>
              <w:t>秦朝</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秦惠文、始皇克定六国，辄徙其豪侠于蜀，资我丰土，家有盐铜之利，户专山川之材，居给人足，以富相尚。</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常璩《华阳国志·蜀志》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rPr>
                <w:rFonts w:ascii="楷体" w:hAnsi="楷体" w:eastAsia="楷体" w:cs="楷体"/>
              </w:rPr>
            </w:pPr>
            <w:r>
              <w:rPr>
                <w:rFonts w:ascii="楷体" w:hAnsi="楷体" w:eastAsia="楷体" w:cs="楷体"/>
              </w:rPr>
              <w:t>汉武帝至西汉末</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于是以东郭咸阳、孔仅为大农丞，领盐铁事；……敢私铸铁器煮盐者，钛左趾，没入其器物。</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司马迁《史记·平准书》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rPr>
                <w:rFonts w:ascii="楷体" w:hAnsi="楷体" w:eastAsia="楷体" w:cs="楷体"/>
              </w:rPr>
            </w:pPr>
            <w:r>
              <w:rPr>
                <w:rFonts w:ascii="楷体" w:hAnsi="楷体" w:eastAsia="楷体" w:cs="楷体"/>
              </w:rPr>
              <w:t>东汉前期</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自中兴以来，匈奴未宾，永平末年，复修征伐。先帝（东汉章帝）即位，务休力役，然犹深思远虑，安不忘危，探观旧典，复收盐铁，欲以防备不虞，宁安边境。而吏多不良，动失其便，以违上意。先帝恨之，故遗戒郡国罢盐铁之禁，纵民煮铸，入税县官如故事。</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范晔《后汉书·和帝纪》</w:t>
            </w:r>
          </w:p>
        </w:tc>
      </w:tr>
    </w:tbl>
    <w:p>
      <w:pPr>
        <w:shd w:val="clear" w:color="auto" w:fill="auto"/>
        <w:spacing w:line="360" w:lineRule="auto"/>
        <w:jc w:val="right"/>
        <w:textAlignment w:val="center"/>
        <w:rPr>
          <w:rFonts w:ascii="楷体" w:hAnsi="楷体" w:eastAsia="楷体" w:cs="楷体"/>
        </w:rPr>
      </w:pPr>
      <w:r>
        <w:rPr>
          <w:rFonts w:ascii="楷体" w:hAnsi="楷体" w:eastAsia="楷体" w:cs="楷体"/>
        </w:rPr>
        <w:t>——据林甘泉《中国经济通史·秦汉经济卷》整理</w:t>
      </w:r>
    </w:p>
    <w:p>
      <w:pPr>
        <w:shd w:val="clear" w:color="auto" w:fill="auto"/>
        <w:spacing w:line="360" w:lineRule="auto"/>
        <w:jc w:val="left"/>
        <w:textAlignment w:val="center"/>
      </w:pPr>
      <w:r>
        <w:t>(1)根据材料，概括秦汉时期盐铁政策的变化。</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r>
        <w:t>(2)根据材料并结合所学知识，指出影响秦汉时期盐铁政策变化的一个因素并简要说明。</w:t>
      </w:r>
      <w:r>
        <w:rPr>
          <w:rFonts w:hint="eastAsia"/>
          <w:lang w:eastAsia="zh-CN"/>
        </w:rPr>
        <w:t>（</w:t>
      </w:r>
      <w:r>
        <w:rPr>
          <w:rFonts w:hint="eastAsia"/>
          <w:lang w:val="en-US" w:eastAsia="zh-CN"/>
        </w:rPr>
        <w:t>8分</w:t>
      </w:r>
      <w:r>
        <w:rPr>
          <w:rFonts w:hint="eastAsia"/>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【答案】(1)变化：秦到西汉，由允许私人经营盐铁到盐铁官营；东汉初年，盐铁官营政策废弛；东汉章帝与和帝时期，由恢复盐铁官营到允许民间在交税的前提下经营盐铁买卖。</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(2)【示例1】因素：加强中央集权（巩固政权）</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说明：面对汉初无为思想导致商人势力壮大，威胁政府的情况，汉武帝为了加强中央集权（巩固政权），推行盐铁官营政策。面对东汉建立后社会经济遭到破坏，人民困苦的现状，东汉章帝允许民间在纳税的前提下进行盐铁贸易，这一转变有利于巩固东汉政权。</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【示例2】因素：少数民族军事威胁</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说明：汉武帝时期，匈奴屡屡进犯边境，威胁人民生产生活和社会稳定，汉武帝通过盐铁官营筹集军费发动反击匈奴的战争。东汉初年匈奴的威胁下降，再加上官员对百姓的盘剥严苛，因此决定允许民间在交税情况下进行盐铁贸易。</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【示例3】因素：国家财政税收</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说明：汉武帝时期通过盐铁官营增加政府财政收入，极大地提升了政府的经济实力，巩固了国家政权。东汉初年，社会趋于稳定，财政问题不再是迫在眉睫的问题，而盐铁官营的弊端日益显现，故东汉章帝允许民间在纳税的前提下进行盐铁贸易。</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1）本题是对比类材料分析题。时空是秦汉时期的中国。据材料“家有盐铜之利，户专山川之材”、“以东郭咸阳、孔仅为大农丞，领盐铁事”可知秦到西汉，由允许私人经营盐铁到盐铁官营；据材料“探观旧典，复收盐铁”说明此前东汉初年，盐铁官营政策废弛；据材料“复收盐铁”、“故遗戒郡国罢盐铁之禁，纵民煮铸，入税县官如故事”可知东汉章帝与和帝时期，由恢复盐铁官营到允许民间在交税的前提下经营盐铁买卖。</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2）本题是对比类和背景类材料分析题。时空是秦汉时期的中国。影响秦汉时期盐铁政策变化的因素可以根据材料并结合所学知识说明。从加强中央集权、巩固政权、少数民族军事威胁和国家财政税收等角度思考。题目要求指出影响秦汉时期盐铁政策变化的一个因素即可。</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首先，加强中央集权、巩固政权影响秦汉时期盐铁政策变化。结合所学的两汉时期的相关史实及材料信息进行说明，面对汉初无为思想导致商人势力壮大，威胁政府的情况，汉武帝为了加强中央集权（巩固政权），推行盐铁官营政策。面对东汉建立后社会经济遭到破坏，人民困苦的现状，东汉章帝允许民间在纳税的前提下进行盐铁贸易，这一转变有利于巩固东汉政权。</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其次，少数民族军事威胁影响了秦汉时期盐铁政策变化，结合所学的两汉时期的相关史实及材料信息进行说明，汉武帝时期，匈奴屡屡进犯边境，威胁人民生产生活和社会稳定，汉武帝通过盐铁官营筹集军费发动反击匈奴的战争。据材料“欲以防备不虞，宁安边境。而吏多不良，动失其便，以违上意。先帝恨之，故遗戒郡国罢盐铁之禁，纵民煮铸，入税县官如故事。”并结合所学知识可知，东汉初年匈奴的威胁下降，再加上官员对百姓的盘剥严苛，因此决定允许民间在交税情况下进行盐铁贸易。</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再次，国家财政税收影响了秦汉时期盐铁政策变化。结合所学知识可知，汉武帝时期通过盐铁官营增加政府财政收入，极大地提升了政府的经济实力，巩固了国家政权。据材料“复收盐铁，欲以防备不虞，宁安边境。而吏多不良，动失其便，以违上意。先帝恨之，故遗戒郡国罢盐铁之禁，纵民煮铸，入税县官如故事。”可知东汉初年，社会趋于稳定，财政问题不再是迫在眉睫的问题，而盐铁官营的弊端日益显现，故东汉章帝允许民间在纳税的前提下进行盐铁贸易。</w:t>
      </w:r>
    </w:p>
    <w:p>
      <w:pPr>
        <w:shd w:val="clear" w:color="auto" w:fill="auto"/>
        <w:spacing w:line="360" w:lineRule="auto"/>
        <w:jc w:val="left"/>
        <w:textAlignment w:val="center"/>
      </w:pPr>
      <w:r>
        <w:t>18．阅读材料，完成下列要求：</w:t>
      </w:r>
      <w:r>
        <w:rPr>
          <w:rFonts w:hint="eastAsia"/>
          <w:lang w:eastAsia="zh-CN"/>
        </w:rPr>
        <w:t>（</w:t>
      </w:r>
      <w:r>
        <w:rPr>
          <w:rFonts w:hint="eastAsia"/>
          <w:lang w:val="en-US" w:eastAsia="zh-CN"/>
        </w:rPr>
        <w:t>12分</w:t>
      </w:r>
      <w:r>
        <w:rPr>
          <w:rFonts w:hint="eastAsia"/>
          <w:lang w:eastAsia="zh-CN"/>
        </w:rPr>
        <w:t>）</w:t>
      </w:r>
    </w:p>
    <w:p>
      <w:pPr>
        <w:shd w:val="clear" w:color="auto" w:fill="auto"/>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家庭承包制确立经历了两次政策突破。第一次发生在</w:t>
      </w:r>
      <w:r>
        <w:t>1978</w:t>
      </w:r>
      <w:r>
        <w:rPr>
          <w:rFonts w:ascii="楷体" w:hAnsi="楷体" w:eastAsia="楷体" w:cs="楷体"/>
        </w:rPr>
        <w:t>年</w:t>
      </w:r>
      <w:r>
        <w:t>12</w:t>
      </w:r>
      <w:r>
        <w:rPr>
          <w:rFonts w:ascii="楷体" w:hAnsi="楷体" w:eastAsia="楷体" w:cs="楷体"/>
        </w:rPr>
        <w:t>月至</w:t>
      </w:r>
      <w:r>
        <w:t>1980</w:t>
      </w:r>
      <w:r>
        <w:rPr>
          <w:rFonts w:ascii="楷体" w:hAnsi="楷体" w:eastAsia="楷体" w:cs="楷体"/>
        </w:rPr>
        <w:t>年</w:t>
      </w:r>
      <w:r>
        <w:t>9</w:t>
      </w:r>
      <w:r>
        <w:rPr>
          <w:rFonts w:ascii="楷体" w:hAnsi="楷体" w:eastAsia="楷体" w:cs="楷体"/>
        </w:rPr>
        <w:t>月，即从中央明确规定“不许包产到户，不许分田单干”，到允许特别贫困地区可以包产到户，但是，依然将包产到户归为“资本主义”，在政治上理论上给予根本否定。第二次发生在</w:t>
      </w:r>
      <w:r>
        <w:t>1980</w:t>
      </w:r>
      <w:r>
        <w:rPr>
          <w:rFonts w:ascii="楷体" w:hAnsi="楷体" w:eastAsia="楷体" w:cs="楷体"/>
        </w:rPr>
        <w:t>年</w:t>
      </w:r>
      <w:r>
        <w:t>9</w:t>
      </w:r>
      <w:r>
        <w:rPr>
          <w:rFonts w:ascii="楷体" w:hAnsi="楷体" w:eastAsia="楷体" w:cs="楷体"/>
        </w:rPr>
        <w:t>月至</w:t>
      </w:r>
      <w:r>
        <w:t>1982</w:t>
      </w:r>
      <w:r>
        <w:rPr>
          <w:rFonts w:ascii="楷体" w:hAnsi="楷体" w:eastAsia="楷体" w:cs="楷体"/>
        </w:rPr>
        <w:t>年</w:t>
      </w:r>
      <w:r>
        <w:t>1</w:t>
      </w:r>
      <w:r>
        <w:rPr>
          <w:rFonts w:ascii="楷体" w:hAnsi="楷体" w:eastAsia="楷体" w:cs="楷体"/>
        </w:rPr>
        <w:t>月，即明确规定包产到户（包干到户）不再限制在特定贫困地方，而可以由农民自主选择，在政治理论上也认定为属于社会主义，进而提升为“农民的伟大创造”。</w:t>
      </w:r>
    </w:p>
    <w:p>
      <w:pPr>
        <w:shd w:val="clear" w:color="auto" w:fill="auto"/>
        <w:spacing w:line="360" w:lineRule="auto"/>
        <w:ind w:firstLine="420"/>
        <w:jc w:val="right"/>
        <w:textAlignment w:val="center"/>
      </w:pPr>
      <w:r>
        <w:rPr>
          <w:rFonts w:ascii="楷体" w:hAnsi="楷体" w:eastAsia="楷体" w:cs="楷体"/>
        </w:rPr>
        <w:t>——摘编自：赵树凯《农村改革第一次政策突破》</w:t>
      </w:r>
    </w:p>
    <w:p>
      <w:pPr>
        <w:shd w:val="clear" w:color="auto" w:fill="auto"/>
        <w:spacing w:line="360" w:lineRule="auto"/>
        <w:ind w:firstLine="420"/>
        <w:jc w:val="left"/>
        <w:textAlignment w:val="center"/>
      </w:pPr>
      <w:r>
        <w:rPr>
          <w:rFonts w:ascii="楷体" w:hAnsi="楷体" w:eastAsia="楷体" w:cs="楷体"/>
        </w:rPr>
        <w:t>材料二</w:t>
      </w:r>
    </w:p>
    <w:p>
      <w:pPr>
        <w:shd w:val="clear" w:color="auto" w:fill="auto"/>
        <w:spacing w:line="36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3924300" cy="1924050"/>
            <wp:effectExtent l="0" t="0" r="0" b="0"/>
            <wp:docPr id="100003" name="图片 100003" descr="@@@5287d7763a004246823c87652bb7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287d7763a004246823c87652bb75037"/>
                    <pic:cNvPicPr>
                      <a:picLocks noChangeAspect="1"/>
                    </pic:cNvPicPr>
                  </pic:nvPicPr>
                  <pic:blipFill>
                    <a:blip r:embed="rId7"/>
                    <a:stretch>
                      <a:fillRect/>
                    </a:stretch>
                  </pic:blipFill>
                  <pic:spPr>
                    <a:xfrm>
                      <a:off x="0" y="0"/>
                      <a:ext cx="3924300" cy="1924050"/>
                    </a:xfrm>
                    <a:prstGeom prst="rect">
                      <a:avLst/>
                    </a:prstGeom>
                  </pic:spPr>
                </pic:pic>
              </a:graphicData>
            </a:graphic>
          </wp:inline>
        </w:drawing>
      </w:r>
    </w:p>
    <w:p>
      <w:pPr>
        <w:shd w:val="clear" w:color="auto" w:fill="auto"/>
        <w:spacing w:line="360" w:lineRule="auto"/>
        <w:ind w:firstLine="420"/>
        <w:jc w:val="right"/>
        <w:textAlignment w:val="center"/>
      </w:pPr>
      <w:r>
        <w:rPr>
          <w:rFonts w:ascii="楷体" w:hAnsi="楷体" w:eastAsia="楷体" w:cs="楷体"/>
        </w:rPr>
        <w:t>——摘编自：魏后凯、刘长全《中国农村改革的基本脉络、经验与展望》</w:t>
      </w:r>
    </w:p>
    <w:p>
      <w:pPr>
        <w:shd w:val="clear" w:color="auto" w:fill="auto"/>
        <w:spacing w:line="360" w:lineRule="auto"/>
        <w:jc w:val="left"/>
        <w:textAlignment w:val="center"/>
      </w:pPr>
      <w:r>
        <w:t>(1)据材料一说明改革开放初期农村经济体制改革经历的政策转变，结合所学知识分析转变的原因。</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r>
        <w:t>(2)据材料一、二并结合所学知识，概括促进农村经济体制改革的措施及对农民的影响。</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(1)转变：从不允许包产到户和分田单干到允许特别贫困地区可以包产到户再到允许农民可以自主选择，包产到户不再限制在特定贫困地区。原因：十一届三中全会的召开；农村生产力遭到严重束缚；农民生活水平低下。</w:t>
      </w:r>
      <w:r>
        <w:rPr>
          <w:rFonts w:hint="eastAsia" w:asciiTheme="minorEastAsia" w:hAnsiTheme="minorEastAsia" w:eastAsiaTheme="minorEastAsia" w:cstheme="minorEastAsia"/>
          <w:color w:val="0000FF"/>
          <w:lang w:eastAsia="zh-CN"/>
        </w:rPr>
        <w:t>（</w:t>
      </w:r>
      <w:r>
        <w:rPr>
          <w:rFonts w:hint="eastAsia" w:asciiTheme="minorEastAsia" w:hAnsiTheme="minorEastAsia" w:eastAsiaTheme="minorEastAsia" w:cstheme="minorEastAsia"/>
          <w:color w:val="0000FF"/>
          <w:lang w:val="en-US" w:eastAsia="zh-CN"/>
        </w:rPr>
        <w:t>6分</w:t>
      </w:r>
      <w:r>
        <w:rPr>
          <w:rFonts w:hint="eastAsia" w:asciiTheme="minorEastAsia" w:hAnsiTheme="minorEastAsia" w:eastAsiaTheme="minorEastAsia" w:cstheme="minorEastAsia"/>
          <w:color w:val="0000FF"/>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(2)措施：实行家庭联产承包责任制，兴办乡镇企业。影响：解放了农村的生产力，调动了农民生产积极性，促进了农村地区经济的发展。</w:t>
      </w:r>
      <w:r>
        <w:rPr>
          <w:rFonts w:hint="eastAsia" w:asciiTheme="minorEastAsia" w:hAnsiTheme="minorEastAsia" w:eastAsiaTheme="minorEastAsia" w:cstheme="minorEastAsia"/>
          <w:color w:val="0000FF"/>
          <w:lang w:eastAsia="zh-CN"/>
        </w:rPr>
        <w:t>（</w:t>
      </w:r>
      <w:r>
        <w:rPr>
          <w:rFonts w:hint="eastAsia" w:asciiTheme="minorEastAsia" w:hAnsiTheme="minorEastAsia" w:eastAsiaTheme="minorEastAsia" w:cstheme="minorEastAsia"/>
          <w:color w:val="0000FF"/>
          <w:lang w:val="en-US" w:eastAsia="zh-CN"/>
        </w:rPr>
        <w:t>6分</w:t>
      </w:r>
      <w:r>
        <w:rPr>
          <w:rFonts w:hint="eastAsia" w:asciiTheme="minorEastAsia" w:hAnsiTheme="minorEastAsia" w:eastAsiaTheme="minorEastAsia" w:cstheme="minorEastAsia"/>
          <w:color w:val="0000FF"/>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1）本题是特点类、原因类材料分析题。政策转变：根据“第一次发生在1978年12月至1980年9月，即从中央明确规定‘不许包产到户，不许分田单干’，到允许特别贫困地区可以包产到户”得出从不允许包产到户和分田单干到允许特别贫困地区可以包产到户；根据“明确规定包产到户（包干到户）不再限制在特定贫困地方，而可以由农民自主选择”得出允许农民可以自主选择，包产到户不在限制在特定贫困地区。原因：结合所学内容可知，转变的原因主要是十一届三中全会的召开；农村生产力遭到严重束缚；农民生活水平低下。</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2）本题是特点类、影响类材料分析题。促进农村经济体制改革的措施，结合所学内容可知，包括实行家庭联产承包责任制和兴办乡镇企业。对农民的影响，结合所学内容可从解放农村生产力、调动农民生产积极性和促进农村地区发展的角度进行总结。</w:t>
      </w:r>
    </w:p>
    <w:p>
      <w:pPr>
        <w:shd w:val="clear" w:color="auto" w:fill="auto"/>
        <w:spacing w:line="360" w:lineRule="auto"/>
        <w:jc w:val="left"/>
        <w:textAlignment w:val="center"/>
      </w:pPr>
      <w:r>
        <w:t>19．阅读材料，完成下列要求。</w:t>
      </w:r>
      <w:r>
        <w:rPr>
          <w:rFonts w:hint="eastAsia"/>
          <w:lang w:eastAsia="zh-CN"/>
        </w:rPr>
        <w:t>（</w:t>
      </w:r>
      <w:r>
        <w:rPr>
          <w:rFonts w:hint="eastAsia"/>
          <w:lang w:val="en-US" w:eastAsia="zh-CN"/>
        </w:rPr>
        <w:t>14分</w:t>
      </w:r>
      <w:r>
        <w:rPr>
          <w:rFonts w:hint="eastAsia"/>
          <w:lang w:eastAsia="zh-CN"/>
        </w:rPr>
        <w:t>）</w:t>
      </w:r>
    </w:p>
    <w:p>
      <w:pPr>
        <w:shd w:val="clear" w:color="auto" w:fill="auto"/>
        <w:spacing w:line="360" w:lineRule="auto"/>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t>19</w:t>
      </w:r>
      <w:r>
        <w:rPr>
          <w:rFonts w:ascii="楷体" w:hAnsi="楷体" w:eastAsia="楷体" w:cs="楷体"/>
        </w:rPr>
        <w:t>世纪中叶后，日本和中国都选择了变法图强，在清末立宪改革运动中，我国历史上第一部宪法性文件《钦定宪法大纲》诞生；其立法理念、制定过程等多方面都深受日本《明治宪法》的影响。清末立宪运动从五大臣出洋考察政治开始拉开序幕，</w:t>
      </w:r>
      <w:r>
        <w:t>1906</w:t>
      </w:r>
      <w:r>
        <w:rPr>
          <w:rFonts w:ascii="楷体" w:hAnsi="楷体" w:eastAsia="楷体" w:cs="楷体"/>
        </w:rPr>
        <w:t>年五大臣考察日本宪政</w:t>
      </w:r>
      <w:r>
        <w:t>，</w:t>
      </w:r>
      <w:r>
        <w:rPr>
          <w:rFonts w:ascii="楷体" w:hAnsi="楷体" w:eastAsia="楷体" w:cs="楷体"/>
        </w:rPr>
        <w:t>此时日本已经跃然成为东方帝国主义强国，被誉为“宪法之父”的伊藤淖文详细介绍了日本宪法的原则。考察大臣们归国后对立宪的必要性和紧迫性反复阐述，各阶层人士也纷纷发表言论，强调日本立宪成功的意义以及模仿的必要性。清政府于</w:t>
      </w:r>
      <w:r>
        <w:t>1908</w:t>
      </w:r>
      <w:r>
        <w:rPr>
          <w:rFonts w:ascii="楷体" w:hAnsi="楷体" w:eastAsia="楷体" w:cs="楷体"/>
        </w:rPr>
        <w:t>年颁布《钦定宪法大纲》，首先要求“上自朝廷，下至臣庶，均守饮定宪法，以期永远率循，罔有逾越”；其次规定“已定之法律，非交议院协赞”，君主也无权“以命令更改废止”。</w:t>
      </w:r>
    </w:p>
    <w:p>
      <w:pPr>
        <w:shd w:val="clear" w:color="auto" w:fill="auto"/>
        <w:spacing w:line="360" w:lineRule="auto"/>
        <w:ind w:firstLine="420"/>
        <w:jc w:val="right"/>
        <w:textAlignment w:val="center"/>
      </w:pPr>
      <w:r>
        <w:rPr>
          <w:rFonts w:ascii="楷体" w:hAnsi="楷体" w:eastAsia="楷体" w:cs="楷体"/>
        </w:rPr>
        <w:t>——摘编自柴松霞《〈钦定宪法大纲）模仿&lt;明治宪法&gt;的成效分祈》</w:t>
      </w:r>
    </w:p>
    <w:p>
      <w:pPr>
        <w:shd w:val="clear" w:color="auto" w:fill="auto"/>
        <w:spacing w:line="360" w:lineRule="auto"/>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任何国家的政治转型都必然处于特定的历史背景中。</w:t>
      </w:r>
      <w:r>
        <w:t>17</w:t>
      </w:r>
      <w:r>
        <w:rPr>
          <w:rFonts w:ascii="楷体" w:hAnsi="楷体" w:eastAsia="楷体" w:cs="楷体"/>
        </w:rPr>
        <w:t>和</w:t>
      </w:r>
      <w:r>
        <w:t>18</w:t>
      </w:r>
      <w:r>
        <w:rPr>
          <w:rFonts w:ascii="楷体" w:hAnsi="楷体" w:eastAsia="楷体" w:cs="楷体"/>
        </w:rPr>
        <w:t>世纪，法国屡次在海外争夺中败给英国，一些先进人士开始寻求解决良策。不少法国革命领导人都游历过英国和美国，甚至参加了美国独立战争。法国大革命前，君主成为国家的最高权力中心，这虽然增强了政府职能，但也隐藏许多危机。政府大兴土木，路易十六为了搜刮钱财重新召开了关闭很久的三级会议，这不仅得罪了第三等级，连特权阶级也得罪了。</w:t>
      </w:r>
      <w:r>
        <w:t>1789</w:t>
      </w:r>
      <w:r>
        <w:rPr>
          <w:rFonts w:ascii="楷体" w:hAnsi="楷体" w:eastAsia="楷体" w:cs="楷体"/>
        </w:rPr>
        <w:t>年法国大革命后，法国政治转型经历了专制君主制、议会君主制、议会共和制、帝制、君主制、总统共和制、帝制以及议会共和制的漫长过程。</w:t>
      </w:r>
    </w:p>
    <w:p>
      <w:pPr>
        <w:shd w:val="clear" w:color="auto" w:fill="auto"/>
        <w:spacing w:line="360" w:lineRule="auto"/>
        <w:ind w:firstLine="420"/>
        <w:jc w:val="right"/>
        <w:textAlignment w:val="center"/>
      </w:pPr>
      <w:r>
        <w:rPr>
          <w:rFonts w:ascii="楷体" w:hAnsi="楷体" w:eastAsia="楷体" w:cs="楷体"/>
        </w:rPr>
        <w:t>——摘编自卓健君《</w:t>
      </w:r>
      <w:r>
        <w:t>1789</w:t>
      </w:r>
      <w:r>
        <w:rPr>
          <w:rFonts w:ascii="楷体" w:hAnsi="楷体" w:eastAsia="楷体" w:cs="楷体"/>
        </w:rPr>
        <w:t>～</w:t>
      </w:r>
      <w:r>
        <w:t>1875</w:t>
      </w:r>
      <w:r>
        <w:rPr>
          <w:rFonts w:ascii="楷体" w:hAnsi="楷体" w:eastAsia="楷体" w:cs="楷体"/>
        </w:rPr>
        <w:t>年法国政治转型研究》</w:t>
      </w:r>
    </w:p>
    <w:p>
      <w:pPr>
        <w:shd w:val="clear" w:color="auto" w:fill="auto"/>
        <w:spacing w:line="360" w:lineRule="auto"/>
        <w:jc w:val="left"/>
        <w:textAlignment w:val="center"/>
      </w:pPr>
      <w:r>
        <w:t>(1)根据材料一并结合所学知识，概括《钦定宪法大纲》模仿《明治宪法》的主要原因。</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r>
        <w:t>(2)根据材料二并结合所学知识，简析1789—1875年法国政治转型的时代背景。综合上述材料，谈谈你对近代中西方政治变革的认识。</w:t>
      </w:r>
      <w:r>
        <w:rPr>
          <w:rFonts w:hint="eastAsia"/>
          <w:lang w:eastAsia="zh-CN"/>
        </w:rPr>
        <w:t>（</w:t>
      </w:r>
      <w:r>
        <w:rPr>
          <w:rFonts w:hint="eastAsia"/>
          <w:lang w:val="en-US" w:eastAsia="zh-CN"/>
        </w:rPr>
        <w:t>8分</w:t>
      </w:r>
      <w:r>
        <w:rPr>
          <w:rFonts w:hint="eastAsia"/>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【答案】(1)原因：民族危机和统治危机不断加深；预备立宪的推行；西方民主和宪政思想的传播；日本宪政改革的成功，尤其是日俄战争对中国的刺激。（任答三点即可）</w:t>
      </w:r>
      <w:r>
        <w:rPr>
          <w:rFonts w:hint="eastAsia" w:asciiTheme="minorEastAsia" w:hAnsiTheme="minorEastAsia" w:eastAsiaTheme="minorEastAsia" w:cstheme="minorEastAsia"/>
          <w:color w:val="0000FF"/>
          <w:lang w:eastAsia="zh-CN"/>
        </w:rPr>
        <w:t>（</w:t>
      </w:r>
      <w:r>
        <w:rPr>
          <w:rFonts w:hint="eastAsia" w:asciiTheme="minorEastAsia" w:hAnsiTheme="minorEastAsia" w:eastAsiaTheme="minorEastAsia" w:cstheme="minorEastAsia"/>
          <w:color w:val="0000FF"/>
          <w:lang w:val="en-US" w:eastAsia="zh-CN"/>
        </w:rPr>
        <w:t>6分</w:t>
      </w:r>
      <w:r>
        <w:rPr>
          <w:rFonts w:hint="eastAsia" w:asciiTheme="minorEastAsia" w:hAnsiTheme="minorEastAsia" w:eastAsiaTheme="minorEastAsia" w:cstheme="minorEastAsia"/>
          <w:color w:val="0000FF"/>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(2)背景：第一次工业革命的推动；霸权争夺中失败刺激了国内的改革；英美革命的影响；启蒙运动在国内的兴起；法国内部统治动荡、财政危机、阶级矛盾尖锐。（任答两点即可）认识：受国内外环境影响；经济基础决定上层建筑；具有曲折性和渐进性；利于推进从封建人治向宪治的转型。</w:t>
      </w:r>
      <w:r>
        <w:rPr>
          <w:rFonts w:hint="eastAsia" w:asciiTheme="minorEastAsia" w:hAnsiTheme="minorEastAsia" w:eastAsiaTheme="minorEastAsia" w:cstheme="minorEastAsia"/>
          <w:color w:val="0000FF"/>
          <w:lang w:eastAsia="zh-CN"/>
        </w:rPr>
        <w:t>（</w:t>
      </w:r>
      <w:r>
        <w:rPr>
          <w:rFonts w:hint="eastAsia" w:asciiTheme="minorEastAsia" w:hAnsiTheme="minorEastAsia" w:eastAsiaTheme="minorEastAsia" w:cstheme="minorEastAsia"/>
          <w:color w:val="0000FF"/>
          <w:lang w:val="en-US" w:eastAsia="zh-CN"/>
        </w:rPr>
        <w:t>8分</w:t>
      </w:r>
      <w:r>
        <w:rPr>
          <w:rFonts w:hint="eastAsia" w:asciiTheme="minorEastAsia" w:hAnsiTheme="minorEastAsia" w:eastAsiaTheme="minorEastAsia" w:cstheme="minorEastAsia"/>
          <w:color w:val="0000FF"/>
          <w:lang w:eastAsia="zh-CN"/>
        </w:rPr>
        <w:t>）</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1）本题是背景类材料分析题。时空是晚清中国。《钦定宪法大纲》模仿《明治宪法》的主要原因，根据材料一并结合所学知识概括。据材料一“选择了变法图强”、“考察大臣们归国后对立宪的必要性和紧迫性反复阐述”并结合所学知识可知，民族危机和统治危机不断加深；据材料一“清末立宪运动从五大臣出洋考察政治开始拉开序幕”可知预备立宪的推行；结合所学近代史的知识可知，西方民主和宪政思想的传播；据材料一“1906年五大臣考察日本宪政，此时日本已经跃然成为东方帝国主义强国”、“强调日本立宪成功的意义以及模仿的必要性”可知日本宪政改革的成功；结合所学知识可知，1904年日俄战争中日本获胜对中国的刺激。</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2）本题是背景类和认识类材料分析题。第一小问时空是1789——1875年法国。时代背景，根据材料二并结合所学知识，从国内经济、政治、思想和国外等方面简析。国内经济方面，结合时间“1789—1875年”得出第一次工业革命的推动；政治方面，据材料二“法国屡次在海外争夺中败给英国”可知霸权争夺中失败刺激了国内的改革；据材料二“隐藏许多危机……这不仅得罪了第三等级，连特权阶级也得罪了。”可得出法国内部统治动荡、财政危机、阶级矛盾尖锐；国外因素，据材料二“不少法国革命领导人都游历过英国和美国，甚至参加了美国独立战争。”可得出英美革命的影响；思想方面，据材料二“17和18世纪”，“一些先进人士开始寻求解决良策”并结合所学知识可知，启蒙运动在国内的兴起。</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第二小问时空是近代中西方，结合两则材料，从国内外环境影响；经济基础决定上层建筑；具有曲折性和渐进性；从封建人治向宪治的转型等角度思考。</w:t>
      </w:r>
    </w:p>
    <w:p>
      <w:pPr>
        <w:shd w:val="clear" w:color="auto" w:fill="auto"/>
        <w:spacing w:line="360" w:lineRule="auto"/>
        <w:jc w:val="left"/>
        <w:textAlignment w:val="center"/>
        <w:rPr>
          <w:rFonts w:hint="eastAsia" w:eastAsia="宋体"/>
          <w:lang w:val="en-US" w:eastAsia="zh-CN"/>
        </w:rPr>
      </w:pPr>
      <w:r>
        <w:t>20．阅读材料，完成下列要求。</w:t>
      </w:r>
      <w:r>
        <w:rPr>
          <w:rFonts w:hint="eastAsia"/>
          <w:lang w:eastAsia="zh-CN"/>
        </w:rPr>
        <w:t>（</w:t>
      </w:r>
      <w:r>
        <w:rPr>
          <w:rFonts w:hint="eastAsia"/>
          <w:lang w:val="en-US" w:eastAsia="zh-CN"/>
        </w:rPr>
        <w:t>12分</w:t>
      </w:r>
      <w:r>
        <w:rPr>
          <w:rFonts w:hint="eastAsia"/>
          <w:lang w:eastAsia="zh-CN"/>
        </w:rPr>
        <w:t>）</w:t>
      </w:r>
    </w:p>
    <w:p>
      <w:pPr>
        <w:shd w:val="clear" w:color="auto" w:fill="auto"/>
        <w:spacing w:line="360" w:lineRule="auto"/>
        <w:ind w:firstLine="420"/>
        <w:jc w:val="left"/>
        <w:textAlignment w:val="center"/>
      </w:pPr>
      <w:r>
        <w:rPr>
          <w:rFonts w:ascii="楷体" w:hAnsi="楷体" w:eastAsia="楷体" w:cs="楷体"/>
        </w:rPr>
        <w:t>材料</w:t>
      </w:r>
      <w:r>
        <w:rPr>
          <w:rFonts w:ascii="Times New Roman" w:hAnsi="Times New Roman" w:eastAsia="Times New Roman" w:cs="Times New Roman"/>
          <w:kern w:val="0"/>
          <w:sz w:val="24"/>
          <w:szCs w:val="24"/>
        </w:rPr>
        <w:t>  </w:t>
      </w:r>
      <w:r>
        <w:rPr>
          <w:rFonts w:ascii="楷体" w:hAnsi="楷体" w:eastAsia="楷体" w:cs="楷体"/>
        </w:rPr>
        <w:t>历史学家伊曼纽尔·沃勒斯坦指出，迄今为止，在全球范围内出现了</w:t>
      </w:r>
      <w:r>
        <w:t>3</w:t>
      </w:r>
      <w:r>
        <w:rPr>
          <w:rFonts w:ascii="楷体" w:hAnsi="楷体" w:eastAsia="楷体" w:cs="楷体"/>
        </w:rPr>
        <w:t>个世界性大国，</w:t>
      </w:r>
      <w:r>
        <w:t>17</w:t>
      </w:r>
      <w:r>
        <w:rPr>
          <w:rFonts w:ascii="楷体" w:hAnsi="楷体" w:eastAsia="楷体" w:cs="楷体"/>
        </w:rPr>
        <w:t>世纪是荷兰的崛起，</w:t>
      </w:r>
      <w:r>
        <w:t>19</w:t>
      </w:r>
      <w:r>
        <w:rPr>
          <w:rFonts w:ascii="楷体" w:hAnsi="楷体" w:eastAsia="楷体" w:cs="楷体"/>
        </w:rPr>
        <w:t>世纪是英国的崛起，</w:t>
      </w:r>
      <w:r>
        <w:t>20</w:t>
      </w:r>
      <w:r>
        <w:rPr>
          <w:rFonts w:ascii="楷体" w:hAnsi="楷体" w:eastAsia="楷体" w:cs="楷体"/>
        </w:rPr>
        <w:t>世纪是美国的崛起。其中，经济因素对大国崛起的影响巨大。</w:t>
      </w:r>
      <w:r>
        <w:rPr>
          <w:rFonts w:ascii="Times New Roman" w:hAnsi="Times New Roman" w:eastAsia="Times New Roman" w:cs="Times New Roman"/>
          <w:kern w:val="0"/>
          <w:sz w:val="24"/>
          <w:szCs w:val="24"/>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37"/>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经济体制的维度</w:t>
            </w:r>
          </w:p>
        </w:tc>
        <w:tc>
          <w:tcPr>
            <w:tcW w:w="87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荷兰、英国和美国崛起的历史表明，凡是能够成功崛起的大国都必须积极建立和培育自由竞争的市场经济体制，从而为其经济发展注入持久的活力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科技创新的维度</w:t>
            </w:r>
          </w:p>
        </w:tc>
        <w:tc>
          <w:tcPr>
            <w:tcW w:w="87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近代历史已雄辩地证明，科技创新在国家进步中扮演着重要的角色，能够崛起的大国不仅具有较强的技术创新能力，而且具有较强的技术转化和应用能力，持续的技术创新和先进的科研体系往往是大国崛起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经济全球化的维度</w:t>
            </w:r>
          </w:p>
        </w:tc>
        <w:tc>
          <w:tcPr>
            <w:tcW w:w="87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从荷兰、英国和美国崛起的历程来看，能否构筑开放的贸易格局，将国内产业结构与国际分工有机衔接，在广阔的国际市场空间优化配置资源，是决定大国能否成功崛起的必要条件</w:t>
            </w:r>
          </w:p>
        </w:tc>
      </w:tr>
    </w:tbl>
    <w:p>
      <w:pPr>
        <w:shd w:val="clear" w:color="auto" w:fill="auto"/>
        <w:spacing w:line="360" w:lineRule="auto"/>
        <w:jc w:val="right"/>
        <w:textAlignment w:val="center"/>
        <w:rPr>
          <w:rFonts w:ascii="楷体" w:hAnsi="楷体" w:eastAsia="楷体" w:cs="楷体"/>
        </w:rPr>
      </w:pPr>
      <w:r>
        <w:rPr>
          <w:rFonts w:ascii="楷体" w:hAnsi="楷体" w:eastAsia="楷体" w:cs="楷体"/>
        </w:rPr>
        <w:t>——摘编自温俊萍《经济史视野中的大国崛起——基于荷兰、英国和美国的经验》</w:t>
      </w:r>
    </w:p>
    <w:p>
      <w:pPr>
        <w:shd w:val="clear" w:color="auto" w:fill="auto"/>
        <w:spacing w:line="360" w:lineRule="auto"/>
        <w:ind w:firstLine="420" w:firstLineChars="0"/>
        <w:jc w:val="left"/>
        <w:textAlignment w:val="center"/>
      </w:pPr>
      <w:r>
        <w:t>围绕材料，选择一种观点或者自拟一个观点，并运用世界史的具体史实予以论述。（要求：观点明确，论证充分，史实准确，表述清晰）</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【答案】</w:t>
      </w:r>
      <w:r>
        <w:rPr>
          <w:rFonts w:hint="eastAsia" w:asciiTheme="minorEastAsia" w:hAnsiTheme="minorEastAsia" w:eastAsiaTheme="minorEastAsia" w:cstheme="minorEastAsia"/>
          <w:color w:val="0000FF"/>
          <w:lang w:eastAsia="zh-CN"/>
        </w:rPr>
        <w:t>（</w:t>
      </w:r>
      <w:r>
        <w:rPr>
          <w:rFonts w:hint="eastAsia" w:asciiTheme="minorEastAsia" w:hAnsiTheme="minorEastAsia" w:eastAsiaTheme="minorEastAsia" w:cstheme="minorEastAsia"/>
          <w:color w:val="0000FF"/>
          <w:lang w:val="en-US" w:eastAsia="zh-CN"/>
        </w:rPr>
        <w:t>12分</w:t>
      </w:r>
      <w:r>
        <w:rPr>
          <w:rFonts w:hint="eastAsia" w:asciiTheme="minorEastAsia" w:hAnsiTheme="minorEastAsia" w:eastAsiaTheme="minorEastAsia" w:cstheme="minorEastAsia"/>
          <w:color w:val="0000FF"/>
          <w:lang w:eastAsia="zh-CN"/>
        </w:rPr>
        <w:t>）</w:t>
      </w:r>
      <w:r>
        <w:rPr>
          <w:rFonts w:hint="eastAsia" w:asciiTheme="minorEastAsia" w:hAnsiTheme="minorEastAsia" w:eastAsiaTheme="minorEastAsia" w:cstheme="minorEastAsia"/>
          <w:color w:val="0000FF"/>
        </w:rPr>
        <w:t>示例一观点：科技创新是决定大国崛起的关键因素。</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论述：18世纪中期至19世纪初期，英国是世界技术发明的中心。瓦特改良蒸汽机、史蒂芬孙发明火车等使英国工业革命深入开展，推动英国成为“世界工厂”，进而成为世界头号工业强国。19世纪晚期，英国依赖广阔的殖民地获取利润，丧失了技术革新的进取心，而后起的资本主义国家美国和德国则不断进行科技创新，引领人类进入电气时代，科技创新促使这两国快速崛起，19世纪末20世纪初工业产值分别跃升至世界第一位和第二位，成为新的世界工业强国。</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总之，大国崛起依靠科技创新，而技术发明和广泛运用又推动了大国崛起。</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示例二观点：坚持开放的国际市场，积极融入世界经济体系，是影响大国崛起关键的外部因素。</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论述：世界经济史表明，没有一个国家能在封闭的经济体系中崛起。作为小国的荷兰之所以能够成就大业，与其积极开拓并参与世界市场，不断扩张海外贸易密不可分。15世纪的地理大发现，为荷兰提供了成就商业帝国的历史性机遇。作为享誉世界的“海上马车夫”，荷兰一贯注重对海外市场的开发和拓展，在从事贸易过程中，荷兰商人逐渐形成近代的贸易观念，追求对外贸易的长期效益和整体效益，逐渐将自己的势力延伸到全球各个角落，从而为荷兰外向型经济的发展奠定了坚实的基础。二战后，美国能够迅速崛起，其中重要的外部因素在于通过参与世界市场获得了来自西欧国家的资本、技术、人才等充足的生产要素，通过自由贸易充分利用国外的各种资源，从而能够在全球范围内配置资源，不断增强自身的经济实力和综合国力。</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总之，大国崛起要依靠开放的贸易格局，积极融入世界经济体系，顺应全球化趋势。</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（示例仅供参考，不作为评分的唯一标准）</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【详解】本题为论述题之探究结论论证题，时空是：17——20世纪（荷兰、英国、美国）。要求：观点明确，论证充分，史实准确。</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首先，提炼观点，根据材料“科技创新在国家进步中扮演着重要的角色，能够崛起的大国不仅具有较强的技术创新能力，而且具有较强的技术转化和应用能力，持续的技术创新和先进的科研体系往往是大国崛起的重要因素”可知，可提炼观点为：科技创新是决定大国崛起的关键因素；根据材料“能否构筑开放的贸易格局，将国内产业结构与国际分工有机衔接，在广阔的国际市场空间优化配置资源，是决定大国能否成功崛起的必要条件”可知，可提炼观点为：坚持开放的国际市场，积极融入世界经济体系，是影响大国崛起关键的外部因素。</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其次，围绕提炼的观点，运用世界史的知识，对材料进行详细阐述，在阐述中需要描述具体的历史史实做为证据进行说明，如：科技创新是决定大国崛起的关键因素。18世纪中期至19世纪初期，英国是世界技术发明的中心。瓦特改良蒸汽机、史蒂芬孙发明火车等使英国工业革命深入开展，推动英国成为“世界工厂”，进而成为世界头号工业强国。19世纪晚期，英国依赖广阔的殖民地获取利润，丧失了技术革新的进取心，而后起的资本主义国家美国和德国则不断进行科技创新，引领人类进入电气时代，科技创新促使这两国快速崛起，19世纪末20世纪初工业产值分别跃升至世界第一位和第二位，成为新的世界工业强国。</w:t>
      </w:r>
    </w:p>
    <w:p>
      <w:pPr>
        <w:shd w:val="clear" w:color="auto" w:fill="auto"/>
        <w:spacing w:line="360" w:lineRule="auto"/>
        <w:jc w:val="left"/>
        <w:textAlignment w:val="center"/>
        <w:rPr>
          <w:rFonts w:hint="eastAsia"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坚持开放的国际市场，积极融入世界经济体系，是影响大国崛起关键的外部因素。世界经济史表明，没有一个国家能在封闭的经济体系中崛起。作为小国的荷兰之所以能够成就大业，与其积极开拓并参与世界市场，不断扩张海外贸易密不可分。15世纪的地理大发现，为荷兰提供了成就商业帝国的历史性机遇。作为享誉世界的“海上马车夫”，荷兰一贯注重对海外市场的开发和拓展，在从事贸易过程中，荷兰商人逐渐形成近代的贸易观念，追求对外贸易的长期效益和整体效益，逐渐将自己的势力延伸到全球各个角落，从而为荷兰外向型经济的发展奠定了坚实的基础。二战后，美国能够迅速崛起，其中重要的外部因素在于通过参与世界市场获得了来自西欧国家的资本、技术、人才等充足的生产要素，通过自由贸易充分利用国外的各种资源，从而能够在全球范围内配置资源，不断增强自身的经济实力和综合国力。</w:t>
      </w:r>
    </w:p>
    <w:p>
      <w:pPr>
        <w:shd w:val="clear" w:color="auto" w:fill="auto"/>
        <w:spacing w:line="360" w:lineRule="auto"/>
        <w:jc w:val="left"/>
        <w:textAlignment w:val="center"/>
      </w:pPr>
      <w:r>
        <w:rPr>
          <w:rFonts w:hint="eastAsia" w:asciiTheme="minorEastAsia" w:hAnsiTheme="minorEastAsia" w:eastAsiaTheme="minorEastAsia" w:cstheme="minorEastAsia"/>
          <w:color w:val="0000FF"/>
        </w:rPr>
        <w:t>最后，针对提炼的观点，再次进行总结升华，说明提炼观点的准确性，如：总之，大国崛起依靠科技创新，而技术发明和广泛运用又推动了大国崛起。或者是，总之，大国崛起要依靠开放的贸易格局，积极融入世界经济体系，顺应全球化趋势。开放性试题，言之有理即可。</w:t>
      </w:r>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1D7A06"/>
    <w:rsid w:val="00284433"/>
    <w:rsid w:val="002A1EC6"/>
    <w:rsid w:val="002E035E"/>
    <w:rsid w:val="004151FC"/>
    <w:rsid w:val="006B16C5"/>
    <w:rsid w:val="00776133"/>
    <w:rsid w:val="00855687"/>
    <w:rsid w:val="008C07DE"/>
    <w:rsid w:val="00A30CCE"/>
    <w:rsid w:val="00AC3E9C"/>
    <w:rsid w:val="00BC4F14"/>
    <w:rsid w:val="00BC62FB"/>
    <w:rsid w:val="00BF535F"/>
    <w:rsid w:val="00C02FC6"/>
    <w:rsid w:val="00C806B0"/>
    <w:rsid w:val="00E476EE"/>
    <w:rsid w:val="00EF035E"/>
    <w:rsid w:val="06AF2295"/>
    <w:rsid w:val="0758479F"/>
    <w:rsid w:val="3DD37DDF"/>
    <w:rsid w:val="41EF1FC5"/>
    <w:rsid w:val="43655275"/>
    <w:rsid w:val="52352C61"/>
    <w:rsid w:val="5EB238A8"/>
    <w:rsid w:val="6D6551A8"/>
    <w:rsid w:val="6F03595C"/>
    <w:rsid w:val="759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13457</Words>
  <Characters>13680</Characters>
  <Lines>0</Lines>
  <Paragraphs>0</Paragraphs>
  <TotalTime>1</TotalTime>
  <ScaleCrop>false</ScaleCrop>
  <LinksUpToDate>false</LinksUpToDate>
  <CharactersWithSpaces>13777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B26D4A2C943E4CD7B0FBE9A5C7FE059E_12</vt:lpwstr>
  </property>
</Properties>
</file>