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C693" w14:textId="77777777" w:rsidR="004411D9" w:rsidRPr="00A835AE" w:rsidRDefault="00000000">
      <w:pPr>
        <w:spacing w:beforeLines="35" w:before="109" w:line="520" w:lineRule="exact"/>
        <w:jc w:val="center"/>
        <w:rPr>
          <w:rFonts w:ascii="方正小标宋简体" w:eastAsia="方正小标宋简体" w:hAnsi="仿宋" w:cs="Times New Roman" w:hint="eastAsia"/>
          <w:sz w:val="36"/>
          <w:szCs w:val="36"/>
        </w:rPr>
      </w:pPr>
      <w:bookmarkStart w:id="0" w:name="_Hlk169682429"/>
      <w:r w:rsidRPr="00A835AE">
        <w:rPr>
          <w:rFonts w:ascii="方正小标宋简体" w:eastAsia="方正小标宋简体" w:hAnsi="仿宋" w:cs="Times New Roman" w:hint="eastAsia"/>
          <w:sz w:val="36"/>
          <w:szCs w:val="36"/>
        </w:rPr>
        <w:t>四川大学数学经济学双学士学位项目选拔方案</w:t>
      </w:r>
    </w:p>
    <w:bookmarkEnd w:id="0"/>
    <w:p w14:paraId="0828BF49" w14:textId="77777777" w:rsidR="004411D9" w:rsidRPr="00A835AE" w:rsidRDefault="00000000">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一、双学士学位项目介绍</w:t>
      </w:r>
    </w:p>
    <w:p w14:paraId="1E3F0ABE" w14:textId="77777777" w:rsidR="004411D9" w:rsidRPr="00AE0D9B" w:rsidRDefault="00000000">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随着信息化数据化程度越来越高，现代经济学发展越来越多地使用数学模型和统计方法对经济规律进行分析。传统单一学习数学的毕业生，往往缺乏系统的经济学理论基础，单一学习经济学的学生，大部分数学运用能力较弱。</w:t>
      </w:r>
    </w:p>
    <w:p w14:paraId="738BEFD7" w14:textId="77777777" w:rsidR="004411D9" w:rsidRPr="00AE0D9B" w:rsidRDefault="00000000">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和传统经济学专业的培养相比，进行数学和经济学的交叉学科培养，可以让学生掌握更多的数学工具，及时跟上经济学研究的国际前沿，并结合中国改革开放实践，发展和创新经济学理论，构建相关模型，结合数据对经济实践活动提供更可靠的分析和建议。</w:t>
      </w:r>
    </w:p>
    <w:p w14:paraId="5A7CFC9F" w14:textId="77777777" w:rsidR="004411D9" w:rsidRPr="00AE0D9B" w:rsidRDefault="00000000">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数学经济学双学士学位在此背景下由数学学院和经济学院共同建立，并于2020年招收第一届学生。</w:t>
      </w:r>
    </w:p>
    <w:p w14:paraId="07F440CC" w14:textId="77777777" w:rsidR="004411D9" w:rsidRPr="00AE0D9B" w:rsidRDefault="00000000">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该专业学生按照培养方案修读后，达到毕业授位条件，可被授予理学学士和经济学学士学位。</w:t>
      </w:r>
    </w:p>
    <w:p w14:paraId="40668E34" w14:textId="77777777" w:rsidR="004411D9" w:rsidRPr="00A835AE" w:rsidRDefault="00000000" w:rsidP="00A835AE">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二、培养目标</w:t>
      </w:r>
    </w:p>
    <w:p w14:paraId="396A2E4B"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全面贯彻党的教育方针，坚持社会主义办学方向，坚守立德树人根本，坚持用社会主义核心价值观统领人才培养全过程、全课程，培养掌握扎实系统的数学和经济学基础知识，具有坚实的数学与经济学</w:t>
      </w:r>
      <w:r w:rsidRPr="00AE0D9B">
        <w:rPr>
          <w:rFonts w:ascii="仿宋" w:eastAsia="仿宋" w:hAnsi="仿宋"/>
          <w:color w:val="000000"/>
          <w:sz w:val="30"/>
          <w:szCs w:val="30"/>
        </w:rPr>
        <w:t>交叉融合的学科理论基础</w:t>
      </w:r>
      <w:r w:rsidRPr="00AE0D9B">
        <w:rPr>
          <w:rFonts w:ascii="仿宋" w:eastAsia="仿宋" w:hAnsi="仿宋" w:hint="eastAsia"/>
          <w:color w:val="000000"/>
          <w:sz w:val="30"/>
          <w:szCs w:val="30"/>
        </w:rPr>
        <w:t>，熟练掌握数量分析方法和先进分析工具并能灵活运用所学理论和</w:t>
      </w:r>
      <w:r w:rsidRPr="00AE0D9B">
        <w:rPr>
          <w:rFonts w:ascii="仿宋" w:eastAsia="仿宋" w:hAnsi="仿宋"/>
          <w:color w:val="000000"/>
          <w:sz w:val="30"/>
          <w:szCs w:val="30"/>
        </w:rPr>
        <w:t>数理工具进行数学建模并解决</w:t>
      </w:r>
      <w:r w:rsidRPr="00AE0D9B">
        <w:rPr>
          <w:rFonts w:ascii="仿宋" w:eastAsia="仿宋" w:hAnsi="仿宋" w:hint="eastAsia"/>
          <w:color w:val="000000"/>
          <w:sz w:val="30"/>
          <w:szCs w:val="30"/>
        </w:rPr>
        <w:t>经济现实问题及相关实际问题，</w:t>
      </w:r>
      <w:r w:rsidRPr="00AE0D9B">
        <w:rPr>
          <w:rFonts w:ascii="仿宋" w:eastAsia="仿宋" w:hAnsi="仿宋"/>
          <w:color w:val="000000"/>
          <w:sz w:val="30"/>
          <w:szCs w:val="30"/>
        </w:rPr>
        <w:t>具有</w:t>
      </w:r>
      <w:r w:rsidRPr="00AE0D9B">
        <w:rPr>
          <w:rFonts w:ascii="仿宋" w:eastAsia="仿宋" w:hAnsi="仿宋" w:hint="eastAsia"/>
          <w:color w:val="000000"/>
          <w:sz w:val="30"/>
          <w:szCs w:val="30"/>
        </w:rPr>
        <w:t>崇高理想信念、深厚人文底蕴、宽广的国际视野及创新精神的未来数学与经济学大师的后备人才。</w:t>
      </w:r>
    </w:p>
    <w:p w14:paraId="397EBF13"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本项目主要为数学、经济学以及相关领域培养高质量的复合型、创新型人才，毕业生适宜继续攻读数学及其应用、经济学或相关专业的研究生，也可在研究机构、企事业单位、政府部门从事数学及其应用、经济分析、金融保险、证券投资等方面的研究、开发与管理工作。</w:t>
      </w:r>
    </w:p>
    <w:p w14:paraId="4E750ED9" w14:textId="77777777" w:rsidR="004411D9" w:rsidRPr="00A835AE" w:rsidRDefault="00000000" w:rsidP="00A835AE">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lastRenderedPageBreak/>
        <w:t>三、师资力量</w:t>
      </w:r>
    </w:p>
    <w:p w14:paraId="7BC77797"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目前两学院面向双学士学位项目教学的专任授课老师46人，具有教授（含其他正高级）职称教师16人，具有</w:t>
      </w:r>
      <w:r w:rsidRPr="00AE0D9B">
        <w:rPr>
          <w:rFonts w:ascii="仿宋" w:eastAsia="仿宋" w:hAnsi="仿宋"/>
          <w:color w:val="000000"/>
          <w:sz w:val="30"/>
          <w:szCs w:val="30"/>
        </w:rPr>
        <w:t>副教授及以上（含其他副高级）职称教师</w:t>
      </w:r>
      <w:r w:rsidRPr="00AE0D9B">
        <w:rPr>
          <w:rFonts w:ascii="仿宋" w:eastAsia="仿宋" w:hAnsi="仿宋" w:hint="eastAsia"/>
          <w:color w:val="000000"/>
          <w:sz w:val="30"/>
          <w:szCs w:val="30"/>
        </w:rPr>
        <w:t>32人，</w:t>
      </w:r>
      <w:r w:rsidRPr="00AE0D9B">
        <w:rPr>
          <w:rFonts w:ascii="仿宋" w:eastAsia="仿宋" w:hAnsi="仿宋"/>
          <w:color w:val="000000"/>
          <w:sz w:val="30"/>
          <w:szCs w:val="30"/>
        </w:rPr>
        <w:t>具有</w:t>
      </w:r>
      <w:r w:rsidRPr="00AE0D9B">
        <w:rPr>
          <w:rFonts w:ascii="仿宋" w:eastAsia="仿宋" w:hAnsi="仿宋" w:hint="eastAsia"/>
          <w:color w:val="000000"/>
          <w:sz w:val="30"/>
          <w:szCs w:val="30"/>
        </w:rPr>
        <w:t>博士</w:t>
      </w:r>
      <w:r w:rsidRPr="00AE0D9B">
        <w:rPr>
          <w:rFonts w:ascii="仿宋" w:eastAsia="仿宋" w:hAnsi="仿宋"/>
          <w:color w:val="000000"/>
          <w:sz w:val="30"/>
          <w:szCs w:val="30"/>
        </w:rPr>
        <w:t>学位教师</w:t>
      </w:r>
      <w:r w:rsidRPr="00AE0D9B">
        <w:rPr>
          <w:rFonts w:ascii="仿宋" w:eastAsia="仿宋" w:hAnsi="仿宋" w:hint="eastAsia"/>
          <w:color w:val="000000"/>
          <w:sz w:val="30"/>
          <w:szCs w:val="30"/>
        </w:rPr>
        <w:t>46人，55岁以下教师44人。</w:t>
      </w:r>
    </w:p>
    <w:p w14:paraId="2E43D71D"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用于双学士学位项目教学的实验设备157台总价值213万，包含5</w:t>
      </w:r>
      <w:r w:rsidRPr="00AE0D9B">
        <w:rPr>
          <w:rFonts w:ascii="仿宋" w:eastAsia="仿宋" w:hAnsi="仿宋"/>
          <w:color w:val="000000"/>
          <w:sz w:val="30"/>
          <w:szCs w:val="30"/>
        </w:rPr>
        <w:t>0</w:t>
      </w:r>
      <w:r w:rsidRPr="00AE0D9B">
        <w:rPr>
          <w:rFonts w:ascii="仿宋" w:eastAsia="仿宋" w:hAnsi="仿宋" w:hint="eastAsia"/>
          <w:color w:val="000000"/>
          <w:sz w:val="30"/>
          <w:szCs w:val="30"/>
        </w:rPr>
        <w:t>台微机的机房1间、40台机器的专属实验室以及1间云实验室为学生数据处理、模拟实验提供支持。</w:t>
      </w:r>
    </w:p>
    <w:p w14:paraId="7BA045BA" w14:textId="77777777" w:rsidR="004411D9" w:rsidRPr="00A835AE" w:rsidRDefault="00000000" w:rsidP="00A835AE">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四、招生对象和计划</w:t>
      </w:r>
    </w:p>
    <w:p w14:paraId="4E9FFABD" w14:textId="7BAE16AF"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招生对象：</w:t>
      </w:r>
      <w:r w:rsidR="00295603" w:rsidRPr="00AE0D9B">
        <w:rPr>
          <w:rFonts w:ascii="仿宋" w:eastAsia="仿宋" w:hAnsi="仿宋" w:hint="eastAsia"/>
          <w:color w:val="000000"/>
          <w:sz w:val="30"/>
          <w:szCs w:val="30"/>
        </w:rPr>
        <w:t>数学学院和经济学院的</w:t>
      </w:r>
      <w:r w:rsidRPr="00AE0D9B">
        <w:rPr>
          <w:rFonts w:ascii="仿宋" w:eastAsia="仿宋" w:hAnsi="仿宋" w:hint="eastAsia"/>
          <w:color w:val="000000"/>
          <w:sz w:val="30"/>
          <w:szCs w:val="30"/>
        </w:rPr>
        <w:t>大一新生</w:t>
      </w:r>
      <w:r w:rsidR="00295603" w:rsidRPr="00AE0D9B">
        <w:rPr>
          <w:rFonts w:ascii="仿宋" w:eastAsia="仿宋" w:hAnsi="仿宋" w:hint="eastAsia"/>
          <w:color w:val="000000"/>
          <w:sz w:val="30"/>
          <w:szCs w:val="30"/>
        </w:rPr>
        <w:t>，外语保送、降转、港澳台和预科班学生不能参加本次双学士学位项目选拔。</w:t>
      </w:r>
    </w:p>
    <w:p w14:paraId="6A62FC66" w14:textId="18A6DB1F"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招生计划：40人（数学学院选拔20人，经济学院选拔20人）</w:t>
      </w:r>
      <w:r w:rsidR="00F37F22">
        <w:rPr>
          <w:rFonts w:ascii="仿宋" w:eastAsia="仿宋" w:hAnsi="仿宋" w:hint="eastAsia"/>
          <w:color w:val="000000"/>
          <w:sz w:val="30"/>
          <w:szCs w:val="30"/>
        </w:rPr>
        <w:t>。</w:t>
      </w:r>
    </w:p>
    <w:p w14:paraId="7279C9CA" w14:textId="77777777" w:rsidR="004411D9" w:rsidRPr="00A835AE" w:rsidRDefault="00000000" w:rsidP="00A835AE">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五、学制和学分</w:t>
      </w:r>
    </w:p>
    <w:p w14:paraId="453F4A6F" w14:textId="72D986C3"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学制：4</w:t>
      </w:r>
      <w:r w:rsidR="00DE2572">
        <w:rPr>
          <w:rFonts w:ascii="仿宋" w:eastAsia="仿宋" w:hAnsi="仿宋" w:hint="eastAsia"/>
          <w:color w:val="000000"/>
          <w:sz w:val="30"/>
          <w:szCs w:val="30"/>
        </w:rPr>
        <w:t>。</w:t>
      </w:r>
    </w:p>
    <w:p w14:paraId="28176E80" w14:textId="1E13D630"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学分：189</w:t>
      </w:r>
      <w:r w:rsidR="00DE2572">
        <w:rPr>
          <w:rFonts w:ascii="仿宋" w:eastAsia="仿宋" w:hAnsi="仿宋" w:hint="eastAsia"/>
          <w:color w:val="000000"/>
          <w:sz w:val="30"/>
          <w:szCs w:val="30"/>
        </w:rPr>
        <w:t>。</w:t>
      </w:r>
    </w:p>
    <w:p w14:paraId="25F6E6BD" w14:textId="77777777" w:rsidR="004411D9" w:rsidRPr="00A835AE" w:rsidRDefault="00000000">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六、报名和选拔</w:t>
      </w:r>
    </w:p>
    <w:p w14:paraId="0BFEAA05"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报名方式：高考成绩在被川大录取的同省（市）中排名前75%的新生（限理科生或者选考物理科目考生），才具有报名参加选拔的资格。符合条件的学生，自愿报名，按照学院后续通知扫描二维码，填报真实有效的相关信息（如经查实非真实有效信息，报名无效），递交报名申请表（仅限数学学院和经济学院大一新生）。数学学院强基计划学生不能报名参与选拔。</w:t>
      </w:r>
    </w:p>
    <w:p w14:paraId="43CD2EA0"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选拔方式：学生在2025年秋季学期第0周周日（9月7日）之前，报名，并按后续通知要求参加面试，学院根据面试考核结果确定选拔名单。</w:t>
      </w:r>
    </w:p>
    <w:p w14:paraId="31827B6E"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选拔程序：</w:t>
      </w:r>
    </w:p>
    <w:p w14:paraId="75C5F37D" w14:textId="41302D26"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1.双方学院组建面试工作小组</w:t>
      </w:r>
      <w:r w:rsidR="00117123">
        <w:rPr>
          <w:rFonts w:ascii="仿宋" w:eastAsia="仿宋" w:hAnsi="仿宋" w:hint="eastAsia"/>
          <w:color w:val="000000"/>
          <w:sz w:val="30"/>
          <w:szCs w:val="30"/>
        </w:rPr>
        <w:t>。</w:t>
      </w:r>
    </w:p>
    <w:p w14:paraId="461AFC05" w14:textId="41E67556"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lastRenderedPageBreak/>
        <w:t>2.数学学院和经济学院分别各自组织面试选拔工作，每个组面试专家5人（正高职称最少1位）。若报名人数过多，可采用群体面试方式（同时面试的学生人数由各学院根据报名实际情况确定）。</w:t>
      </w:r>
    </w:p>
    <w:p w14:paraId="14431E2A"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3.选拔工作在2025年秋季学期第2周周五前完成（根据教务处相关安排确定具体时间后通知报名学生）。</w:t>
      </w:r>
    </w:p>
    <w:p w14:paraId="6DE8FCA2"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4.面试结束后，各学院面试成绩排名前20名学生进入拟选拔名单。</w:t>
      </w:r>
    </w:p>
    <w:p w14:paraId="1E30C8B7"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5.拟选拔名单报各学院党政联席会审核通过并公示3个工作日，无异议后报教务处备案。</w:t>
      </w:r>
    </w:p>
    <w:p w14:paraId="5090E3AE" w14:textId="77777777" w:rsidR="004411D9" w:rsidRPr="00A835AE" w:rsidRDefault="00000000">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七、学生管理与退出机制</w:t>
      </w:r>
    </w:p>
    <w:p w14:paraId="617B63D3"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学生管理：大一、大二年级由数学学院管理，大三、大四年级由经济学院管理。</w:t>
      </w:r>
    </w:p>
    <w:p w14:paraId="55B178C8" w14:textId="77777777" w:rsidR="004411D9" w:rsidRPr="00AE0D9B" w:rsidRDefault="00000000" w:rsidP="00AE0D9B">
      <w:pPr>
        <w:spacing w:line="520" w:lineRule="exact"/>
        <w:ind w:firstLineChars="200" w:firstLine="600"/>
        <w:rPr>
          <w:rFonts w:ascii="仿宋" w:eastAsia="仿宋" w:hAnsi="仿宋" w:hint="eastAsia"/>
          <w:color w:val="000000"/>
          <w:sz w:val="30"/>
          <w:szCs w:val="30"/>
        </w:rPr>
      </w:pPr>
      <w:r w:rsidRPr="00AE0D9B">
        <w:rPr>
          <w:rFonts w:ascii="仿宋" w:eastAsia="仿宋" w:hAnsi="仿宋" w:hint="eastAsia"/>
          <w:color w:val="000000"/>
          <w:sz w:val="30"/>
          <w:szCs w:val="30"/>
        </w:rPr>
        <w:t>退出机制：若学生确实存在较大学习困难，最晚需在进入大三年级前提出退出申请，经两院讨论通过后报学校教务处审批。退出本项目的学生回到原高考录取类别所在学院。</w:t>
      </w:r>
      <w:bookmarkStart w:id="1" w:name="_Hlk207817423"/>
      <w:r w:rsidRPr="00AE0D9B">
        <w:rPr>
          <w:rFonts w:ascii="仿宋" w:eastAsia="仿宋" w:hAnsi="仿宋" w:hint="eastAsia"/>
          <w:color w:val="000000"/>
          <w:sz w:val="30"/>
          <w:szCs w:val="30"/>
        </w:rPr>
        <w:t>数学学院学生如果在第三学期专业分流完成前退出，回到数学大类，如果在第三学期专业分流后退出，将进入数学与应用数学专业；</w:t>
      </w:r>
      <w:bookmarkEnd w:id="1"/>
      <w:r w:rsidRPr="00AE0D9B">
        <w:rPr>
          <w:rFonts w:ascii="仿宋" w:eastAsia="仿宋" w:hAnsi="仿宋" w:hint="eastAsia"/>
          <w:color w:val="000000"/>
          <w:sz w:val="30"/>
          <w:szCs w:val="30"/>
        </w:rPr>
        <w:t>经济学院学生如果在第二学期专业分流完成前退出，回到原来大类，如果在第二学期专业分流后退出，将进入经济学专业。本项目后续不做增补。</w:t>
      </w:r>
    </w:p>
    <w:p w14:paraId="14737669" w14:textId="77777777" w:rsidR="004411D9" w:rsidRPr="00A835AE" w:rsidRDefault="00000000">
      <w:pPr>
        <w:spacing w:beforeLines="35" w:before="109" w:line="520" w:lineRule="exact"/>
        <w:rPr>
          <w:rFonts w:ascii="黑体" w:eastAsia="黑体" w:hAnsi="黑体" w:cs="Times New Roman" w:hint="eastAsia"/>
          <w:sz w:val="28"/>
          <w:szCs w:val="28"/>
        </w:rPr>
      </w:pPr>
      <w:r w:rsidRPr="00A835AE">
        <w:rPr>
          <w:rFonts w:ascii="黑体" w:eastAsia="黑体" w:hAnsi="黑体" w:cs="Times New Roman" w:hint="eastAsia"/>
          <w:sz w:val="28"/>
          <w:szCs w:val="28"/>
        </w:rPr>
        <w:t>八、联系方式</w:t>
      </w:r>
    </w:p>
    <w:p w14:paraId="2C92673F" w14:textId="77777777" w:rsidR="004411D9" w:rsidRPr="0074627A" w:rsidRDefault="00000000">
      <w:pPr>
        <w:spacing w:beforeLines="35" w:before="109" w:line="520" w:lineRule="exact"/>
        <w:rPr>
          <w:rFonts w:ascii="仿宋" w:eastAsia="仿宋" w:hAnsi="仿宋" w:cs="Times New Roman" w:hint="eastAsia"/>
          <w:sz w:val="30"/>
          <w:szCs w:val="30"/>
        </w:rPr>
      </w:pPr>
      <w:r w:rsidRPr="0074627A">
        <w:rPr>
          <w:rFonts w:ascii="仿宋" w:eastAsia="仿宋" w:hAnsi="仿宋" w:cs="Times New Roman" w:hint="eastAsia"/>
          <w:sz w:val="30"/>
          <w:szCs w:val="30"/>
        </w:rPr>
        <w:t>数学学院：028-85471715</w:t>
      </w:r>
    </w:p>
    <w:p w14:paraId="078FB235" w14:textId="77777777" w:rsidR="004411D9" w:rsidRPr="0074627A" w:rsidRDefault="00000000">
      <w:pPr>
        <w:spacing w:beforeLines="35" w:before="109" w:line="520" w:lineRule="exact"/>
        <w:rPr>
          <w:rFonts w:ascii="仿宋" w:eastAsia="仿宋" w:hAnsi="仿宋" w:cs="Times New Roman" w:hint="eastAsia"/>
          <w:sz w:val="30"/>
          <w:szCs w:val="30"/>
        </w:rPr>
      </w:pPr>
      <w:r w:rsidRPr="0074627A">
        <w:rPr>
          <w:rFonts w:ascii="仿宋" w:eastAsia="仿宋" w:hAnsi="仿宋" w:cs="Times New Roman" w:hint="eastAsia"/>
          <w:sz w:val="30"/>
          <w:szCs w:val="30"/>
        </w:rPr>
        <w:t>经济学院：028-85412301</w:t>
      </w:r>
    </w:p>
    <w:p w14:paraId="2EB45852" w14:textId="77777777" w:rsidR="004411D9" w:rsidRDefault="00000000">
      <w:pPr>
        <w:spacing w:beforeLines="35" w:before="109" w:line="520" w:lineRule="exact"/>
        <w:rPr>
          <w:rFonts w:ascii="仿宋" w:eastAsia="仿宋" w:hAnsi="仿宋" w:cs="Times New Roman" w:hint="eastAsia"/>
          <w:sz w:val="28"/>
          <w:szCs w:val="28"/>
        </w:rPr>
      </w:pPr>
      <w:r>
        <w:rPr>
          <w:rFonts w:ascii="仿宋" w:eastAsia="仿宋" w:hAnsi="仿宋" w:cs="Times New Roman" w:hint="eastAsia"/>
          <w:sz w:val="28"/>
          <w:szCs w:val="28"/>
        </w:rPr>
        <w:t xml:space="preserve">                                                </w:t>
      </w:r>
    </w:p>
    <w:p w14:paraId="27405EB4" w14:textId="10946D70" w:rsidR="004411D9" w:rsidRDefault="00000000" w:rsidP="0074627A">
      <w:pPr>
        <w:spacing w:beforeLines="35" w:before="109" w:line="520" w:lineRule="exact"/>
        <w:rPr>
          <w:rFonts w:ascii="仿宋" w:eastAsia="仿宋" w:hAnsi="仿宋" w:cs="Times New Roman" w:hint="eastAsia"/>
          <w:sz w:val="28"/>
          <w:szCs w:val="28"/>
        </w:rPr>
      </w:pPr>
      <w:r>
        <w:rPr>
          <w:rFonts w:ascii="仿宋" w:eastAsia="仿宋" w:hAnsi="仿宋" w:cs="Times New Roman" w:hint="eastAsia"/>
          <w:sz w:val="28"/>
          <w:szCs w:val="28"/>
        </w:rPr>
        <w:t xml:space="preserve">                                              </w:t>
      </w:r>
    </w:p>
    <w:p w14:paraId="6B7DF734" w14:textId="77777777" w:rsidR="004411D9" w:rsidRDefault="004411D9">
      <w:pPr>
        <w:spacing w:beforeLines="35" w:before="109" w:line="520" w:lineRule="exact"/>
        <w:rPr>
          <w:rFonts w:ascii="仿宋" w:eastAsia="仿宋" w:hAnsi="仿宋" w:cs="Times New Roman" w:hint="eastAsia"/>
          <w:sz w:val="28"/>
          <w:szCs w:val="28"/>
        </w:rPr>
      </w:pPr>
    </w:p>
    <w:p w14:paraId="54AE578E" w14:textId="77777777" w:rsidR="00295603" w:rsidRDefault="00295603">
      <w:pPr>
        <w:spacing w:beforeLines="35" w:before="109" w:line="520" w:lineRule="exact"/>
        <w:rPr>
          <w:rFonts w:ascii="仿宋" w:eastAsia="仿宋" w:hAnsi="仿宋" w:cs="Times New Roman" w:hint="eastAsia"/>
          <w:sz w:val="28"/>
          <w:szCs w:val="28"/>
        </w:rPr>
      </w:pPr>
    </w:p>
    <w:p w14:paraId="5A818199" w14:textId="77777777" w:rsidR="004411D9" w:rsidRDefault="00000000">
      <w:pPr>
        <w:spacing w:beforeLines="35" w:before="109" w:line="52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lastRenderedPageBreak/>
        <w:t>注：</w:t>
      </w:r>
    </w:p>
    <w:p w14:paraId="3555A03A" w14:textId="77777777" w:rsidR="004411D9" w:rsidRDefault="00000000">
      <w:pPr>
        <w:spacing w:beforeLines="35" w:before="109"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数学学院有数学拔尖计划、数学经济学（双学士学位）和数学与智能科技（双学士学位）三个项目的学生选拔。符合报名条件的数学学院2025级新生只能选择一个项目报名参与选拔（报名参加两个以上项目的选拔，报名自动无效）。</w:t>
      </w:r>
    </w:p>
    <w:p w14:paraId="30F09C26" w14:textId="77777777" w:rsidR="004411D9" w:rsidRDefault="00000000">
      <w:pPr>
        <w:spacing w:beforeLines="35" w:before="109"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经济学院有经济拔尖计划、数学经济学（双学士学位）两个项目的学生选拔。符合报名条件的经济学院2025级新生只能选择一个项目报名参与选拔（报名参加两个项目选拔，报名自动无效）。</w:t>
      </w:r>
    </w:p>
    <w:sectPr w:rsidR="004411D9">
      <w:pgSz w:w="11906" w:h="16838"/>
      <w:pgMar w:top="1134" w:right="1416"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4D2F" w14:textId="77777777" w:rsidR="00020899" w:rsidRDefault="00020899" w:rsidP="009D6AF7">
      <w:r>
        <w:separator/>
      </w:r>
    </w:p>
  </w:endnote>
  <w:endnote w:type="continuationSeparator" w:id="0">
    <w:p w14:paraId="3F56CF51" w14:textId="77777777" w:rsidR="00020899" w:rsidRDefault="00020899" w:rsidP="009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21DA" w14:textId="77777777" w:rsidR="00020899" w:rsidRDefault="00020899" w:rsidP="009D6AF7">
      <w:r>
        <w:separator/>
      </w:r>
    </w:p>
  </w:footnote>
  <w:footnote w:type="continuationSeparator" w:id="0">
    <w:p w14:paraId="7F666E70" w14:textId="77777777" w:rsidR="00020899" w:rsidRDefault="00020899" w:rsidP="009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3479"/>
    <w:multiLevelType w:val="hybridMultilevel"/>
    <w:tmpl w:val="47B8BFE6"/>
    <w:lvl w:ilvl="0" w:tplc="85AEDC70">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39289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D9"/>
    <w:rsid w:val="00020899"/>
    <w:rsid w:val="00063B20"/>
    <w:rsid w:val="00063B74"/>
    <w:rsid w:val="0009486F"/>
    <w:rsid w:val="00117123"/>
    <w:rsid w:val="001C2298"/>
    <w:rsid w:val="001D4C22"/>
    <w:rsid w:val="00295603"/>
    <w:rsid w:val="004411D9"/>
    <w:rsid w:val="00501F3B"/>
    <w:rsid w:val="00566696"/>
    <w:rsid w:val="00730D05"/>
    <w:rsid w:val="0074627A"/>
    <w:rsid w:val="009D6AF7"/>
    <w:rsid w:val="00A835AE"/>
    <w:rsid w:val="00A84883"/>
    <w:rsid w:val="00AB3971"/>
    <w:rsid w:val="00AE0D9B"/>
    <w:rsid w:val="00AE3EAA"/>
    <w:rsid w:val="00AF05E1"/>
    <w:rsid w:val="00BA01D3"/>
    <w:rsid w:val="00BE7708"/>
    <w:rsid w:val="00C849F2"/>
    <w:rsid w:val="00CA1120"/>
    <w:rsid w:val="00DE2572"/>
    <w:rsid w:val="00E25D8F"/>
    <w:rsid w:val="00E83501"/>
    <w:rsid w:val="00F37F22"/>
    <w:rsid w:val="00F910DA"/>
    <w:rsid w:val="00F961B5"/>
    <w:rsid w:val="00FE644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38597"/>
  <w15:docId w15:val="{1D94617B-BE7B-46CB-8454-5B946A76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Body Text"/>
    <w:basedOn w:val="a"/>
    <w:link w:val="a6"/>
    <w:uiPriority w:val="1"/>
    <w:qFormat/>
    <w:pPr>
      <w:autoSpaceDE w:val="0"/>
      <w:autoSpaceDN w:val="0"/>
      <w:adjustRightInd w:val="0"/>
      <w:spacing w:before="7"/>
      <w:jc w:val="left"/>
    </w:pPr>
    <w:rPr>
      <w:rFonts w:ascii="宋体" w:hAnsi="Times New Roman"/>
      <w:b/>
      <w:bCs/>
      <w:kern w:val="0"/>
      <w:sz w:val="24"/>
      <w:szCs w:val="24"/>
    </w:rPr>
  </w:style>
  <w:style w:type="paragraph" w:styleId="a7">
    <w:name w:val="Date"/>
    <w:basedOn w:val="a"/>
    <w:next w:val="a"/>
    <w:link w:val="a8"/>
    <w:uiPriority w:val="99"/>
    <w:pPr>
      <w:ind w:leftChars="2500" w:left="100"/>
    </w:pPr>
  </w:style>
  <w:style w:type="paragraph" w:styleId="a9">
    <w:name w:val="Balloon Text"/>
    <w:basedOn w:val="a"/>
    <w:link w:val="aa"/>
    <w:uiPriority w:val="99"/>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0">
    <w:name w:val="annotation subject"/>
    <w:basedOn w:val="a3"/>
    <w:next w:val="a3"/>
    <w:link w:val="af1"/>
    <w:uiPriority w:val="99"/>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rPr>
      <w:color w:val="0000FF"/>
      <w:u w:val="single"/>
    </w:rPr>
  </w:style>
  <w:style w:type="character" w:styleId="af4">
    <w:name w:val="annotation reference"/>
    <w:basedOn w:val="a0"/>
    <w:uiPriority w:val="99"/>
    <w:qFormat/>
    <w:rPr>
      <w:sz w:val="21"/>
      <w:szCs w:val="21"/>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f1">
    <w:name w:val="批注主题 字符"/>
    <w:basedOn w:val="a4"/>
    <w:link w:val="af0"/>
    <w:uiPriority w:val="99"/>
    <w:rPr>
      <w:b/>
      <w:bCs/>
    </w:rPr>
  </w:style>
  <w:style w:type="character" w:customStyle="1" w:styleId="aa">
    <w:name w:val="批注框文本 字符"/>
    <w:basedOn w:val="a0"/>
    <w:link w:val="a9"/>
    <w:uiPriority w:val="99"/>
    <w:qFormat/>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a8">
    <w:name w:val="日期 字符"/>
    <w:basedOn w:val="a0"/>
    <w:link w:val="a7"/>
    <w:uiPriority w:val="99"/>
  </w:style>
  <w:style w:type="character" w:customStyle="1" w:styleId="a6">
    <w:name w:val="正文文本 字符"/>
    <w:basedOn w:val="a0"/>
    <w:link w:val="a5"/>
    <w:uiPriority w:val="1"/>
    <w:rPr>
      <w:rFonts w:ascii="宋体" w:eastAsia="宋体" w:hAnsi="Times New Roman" w:cs="宋体"/>
      <w:b/>
      <w:bCs/>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300</Words>
  <Characters>1712</Characters>
  <Application>Microsoft Office Word</Application>
  <DocSecurity>0</DocSecurity>
  <Lines>14</Lines>
  <Paragraphs>4</Paragraphs>
  <ScaleCrop>false</ScaleCrop>
  <Company>Lenovo</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 d</cp:lastModifiedBy>
  <cp:revision>14</cp:revision>
  <cp:lastPrinted>2025-09-04T02:11:00Z</cp:lastPrinted>
  <dcterms:created xsi:type="dcterms:W3CDTF">2025-09-04T00:16:00Z</dcterms:created>
  <dcterms:modified xsi:type="dcterms:W3CDTF">2025-09-04T07:59:00Z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ed8de2cae47041aa84d2ad1c06942fba_23</vt:lpwstr>
  </property>
</Properties>
</file>