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line="1100" w:lineRule="exact"/>
        <w:jc w:val="both"/>
        <w:rPr>
          <w:rFonts w:hint="eastAsia" w:ascii="方正小标宋简体" w:eastAsia="方正小标宋简体"/>
          <w:color w:val="FF0000"/>
          <w:spacing w:val="40"/>
          <w:sz w:val="70"/>
          <w:szCs w:val="72"/>
        </w:rPr>
      </w:pPr>
    </w:p>
    <w:p>
      <w:pPr>
        <w:spacing w:line="1000" w:lineRule="exact"/>
        <w:jc w:val="both"/>
        <w:rPr>
          <w:rFonts w:hint="eastAsia" w:ascii="方正小标宋简体" w:eastAsia="方正小标宋简体"/>
          <w:color w:val="FF0000"/>
          <w:spacing w:val="40"/>
          <w:sz w:val="70"/>
          <w:szCs w:val="72"/>
        </w:rPr>
      </w:pPr>
    </w:p>
    <w:p>
      <w:pPr>
        <w:spacing w:line="1000" w:lineRule="exact"/>
        <w:jc w:val="both"/>
        <w:rPr>
          <w:rFonts w:ascii="方正小标宋简体" w:eastAsia="方正小标宋简体"/>
          <w:color w:val="FF0000"/>
          <w:spacing w:val="40"/>
          <w:w w:val="93"/>
          <w:sz w:val="72"/>
          <w:szCs w:val="72"/>
        </w:rPr>
      </w:pPr>
      <w:r>
        <w:rPr>
          <w:w w:val="93"/>
          <w:sz w:val="72"/>
          <w:szCs w:val="72"/>
        </w:rPr>
        <mc:AlternateContent>
          <mc:Choice Requires="wps">
            <w:drawing>
              <wp:anchor distT="0" distB="0" distL="114300" distR="114300" simplePos="0" relativeHeight="251661312" behindDoc="0" locked="0" layoutInCell="1" allowOverlap="1">
                <wp:simplePos x="0" y="0"/>
                <wp:positionH relativeFrom="column">
                  <wp:posOffset>4351020</wp:posOffset>
                </wp:positionH>
                <wp:positionV relativeFrom="paragraph">
                  <wp:posOffset>180975</wp:posOffset>
                </wp:positionV>
                <wp:extent cx="1370965" cy="914400"/>
                <wp:effectExtent l="0" t="0" r="635" b="0"/>
                <wp:wrapNone/>
                <wp:docPr id="1" name="文本框 1"/>
                <wp:cNvGraphicFramePr/>
                <a:graphic xmlns:a="http://schemas.openxmlformats.org/drawingml/2006/main">
                  <a:graphicData uri="http://schemas.microsoft.com/office/word/2010/wordprocessingShape">
                    <wps:wsp>
                      <wps:cNvSpPr txBox="1"/>
                      <wps:spPr>
                        <a:xfrm>
                          <a:off x="0" y="0"/>
                          <a:ext cx="1370965" cy="914400"/>
                        </a:xfrm>
                        <a:prstGeom prst="rect">
                          <a:avLst/>
                        </a:prstGeom>
                        <a:solidFill>
                          <a:srgbClr val="FFFFFF"/>
                        </a:solidFill>
                        <a:ln w="9525">
                          <a:noFill/>
                        </a:ln>
                      </wps:spPr>
                      <wps:txbx>
                        <w:txbxContent>
                          <w:p>
                            <w:pPr>
                              <w:rPr>
                                <w:rFonts w:ascii="方正小标宋简体" w:hAnsi="宋体" w:eastAsia="方正小标宋简体"/>
                                <w:color w:val="FF0000"/>
                                <w:sz w:val="84"/>
                                <w:szCs w:val="84"/>
                              </w:rPr>
                            </w:pPr>
                            <w:r>
                              <w:rPr>
                                <w:rFonts w:hint="eastAsia" w:ascii="方正小标宋简体" w:hAnsi="宋体" w:eastAsia="方正小标宋简体"/>
                                <w:color w:val="FF0000"/>
                                <w:w w:val="90"/>
                                <w:sz w:val="84"/>
                                <w:szCs w:val="84"/>
                              </w:rPr>
                              <w:t>文件</w:t>
                            </w:r>
                          </w:p>
                          <w:p/>
                        </w:txbxContent>
                      </wps:txbx>
                      <wps:bodyPr upright="1"/>
                    </wps:wsp>
                  </a:graphicData>
                </a:graphic>
              </wp:anchor>
            </w:drawing>
          </mc:Choice>
          <mc:Fallback>
            <w:pict>
              <v:shape id="_x0000_s1026" o:spid="_x0000_s1026" o:spt="202" type="#_x0000_t202" style="position:absolute;left:0pt;margin-left:342.6pt;margin-top:14.25pt;height:72pt;width:107.95pt;z-index:251661312;mso-width-relative:page;mso-height-relative:page;" fillcolor="#FFFFFF" filled="t" stroked="f" coordsize="21600,21600" o:gfxdata="UEsDBAoAAAAAAIdO4kAAAAAAAAAAAAAAAAAEAAAAZHJzL1BLAwQUAAAACACHTuJA1mXMOtcAAAAK&#10;AQAADwAAAGRycy9kb3ducmV2LnhtbE2Py07DMBBF90j8gzVIbBB1EpEncSqBBGLbxwc48TSJiMdR&#10;7Dbt3zOsYDm6R/eeqbdXO4kLLn50pCDeRCCQOmdG6hUcDx/PBQgfNBk9OUIFN/Swbe7val0Zt9IO&#10;L/vQCy4hX2kFQwhzJaXvBrTab9yMxNnJLVYHPpdemkWvXG4nmURRJq0eiRcGPeP7gN33/mwVnL7W&#10;p7Rc289wzHcv2Zse89bdlHp8iKNXEAGv4Q+GX31Wh4adWncm48WkIMvLhFEFSZGCYKAo0xhEy2Se&#10;pCCbWv5/ofkBUEsDBBQAAAAIAIdO4kA+vzhfrQEAADIDAAAOAAAAZHJzL2Uyb0RvYy54bWytUsGO&#10;0zAQvSPxD5bvNGnZLmzUdCVYlQsCpIUPcB07sWR7rLG3SX8A/oATF+58V79jx27p7sINkYNje968&#10;mffGq+vJWbZTGA34ls9nNWfKS+iM71v+5fPmxWvOYhK+Exa8avleRX69fv5sNYZGLWAA2ylkROJj&#10;M4aWDymFpqqiHJQTcQZBeQpqQCcSHbGvOhQjsTtbLer6shoBu4AgVYx0e3MM8nXh11rJ9FHrqBKz&#10;LafeUlmxrNu8VuuVaHoUYTDy1Ib4hy6cMJ6KnqluRBLsDs1fVM5IhAg6zSS4CrQ2UhUNpGZe/6Hm&#10;dhBBFS1kTgxnm+L/o5Ufdp+QmY5mx5kXjkZ0+P7t8OPX4edXNs/2jCE2hLoNhEvTG5gy9HQf6TKr&#10;njS6/Cc9jOJk9P5srpoSkznp5av66nLJmaTY1fzioi7uVw/ZAWN6p8CxvGk50vCKp2L3PiaqSNDf&#10;kFwsgjXdxlhbDthv31pkO0GD3pQvN0kpT2DWs5GqLxfLwuwh5x9x1hM8iz2Kyrs0baeT0i10ezLg&#10;LqDpB2quWFDgNJhS5/SI8uQfnwvpw1Nf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Zcw61wAA&#10;AAoBAAAPAAAAAAAAAAEAIAAAACIAAABkcnMvZG93bnJldi54bWxQSwECFAAUAAAACACHTuJAPr84&#10;X60BAAAyAwAADgAAAAAAAAABACAAAAAmAQAAZHJzL2Uyb0RvYy54bWxQSwUGAAAAAAYABgBZAQAA&#10;RQUAAAAA&#10;">
                <v:fill on="t" focussize="0,0"/>
                <v:stroke on="f"/>
                <v:imagedata o:title=""/>
                <o:lock v:ext="edit" aspectratio="f"/>
                <v:textbox>
                  <w:txbxContent>
                    <w:p>
                      <w:pPr>
                        <w:rPr>
                          <w:rFonts w:ascii="方正小标宋简体" w:hAnsi="宋体" w:eastAsia="方正小标宋简体"/>
                          <w:color w:val="FF0000"/>
                          <w:sz w:val="84"/>
                          <w:szCs w:val="84"/>
                        </w:rPr>
                      </w:pPr>
                      <w:r>
                        <w:rPr>
                          <w:rFonts w:hint="eastAsia" w:ascii="方正小标宋简体" w:hAnsi="宋体" w:eastAsia="方正小标宋简体"/>
                          <w:color w:val="FF0000"/>
                          <w:w w:val="90"/>
                          <w:sz w:val="84"/>
                          <w:szCs w:val="84"/>
                        </w:rPr>
                        <w:t>文件</w:t>
                      </w:r>
                    </w:p>
                    <w:p/>
                  </w:txbxContent>
                </v:textbox>
              </v:shape>
            </w:pict>
          </mc:Fallback>
        </mc:AlternateContent>
      </w:r>
      <w:r>
        <w:rPr>
          <w:rFonts w:hint="eastAsia" w:ascii="方正小标宋简体" w:eastAsia="方正小标宋简体"/>
          <w:color w:val="FF0000"/>
          <w:spacing w:val="40"/>
          <w:w w:val="93"/>
          <w:sz w:val="72"/>
          <w:szCs w:val="72"/>
        </w:rPr>
        <w:t>福建省科学技术协会</w:t>
      </w:r>
    </w:p>
    <w:p>
      <w:pPr>
        <w:spacing w:line="1000" w:lineRule="exact"/>
        <w:jc w:val="both"/>
        <w:rPr>
          <w:rFonts w:ascii="方正小标宋简体" w:eastAsia="方正小标宋简体"/>
          <w:color w:val="FF0000"/>
          <w:spacing w:val="270"/>
          <w:w w:val="93"/>
          <w:sz w:val="72"/>
          <w:szCs w:val="72"/>
        </w:rPr>
      </w:pPr>
      <w:r>
        <w:rPr>
          <w:rFonts w:hint="eastAsia" w:ascii="方正小标宋简体" w:eastAsia="方正小标宋简体"/>
          <w:color w:val="FF0000"/>
          <w:spacing w:val="270"/>
          <w:w w:val="93"/>
          <w:sz w:val="72"/>
          <w:szCs w:val="72"/>
        </w:rPr>
        <w:t>福建省教育厅</w:t>
      </w:r>
    </w:p>
    <w:p>
      <w:pPr>
        <w:pStyle w:val="4"/>
        <w:jc w:val="center"/>
        <w:rPr>
          <w:rFonts w:ascii="宋体" w:hAnsi="宋体" w:eastAsia="方正仿宋_GBK"/>
          <w:color w:val="000000"/>
          <w:sz w:val="32"/>
        </w:rPr>
      </w:pPr>
    </w:p>
    <w:p>
      <w:pPr>
        <w:pStyle w:val="4"/>
        <w:spacing w:line="20" w:lineRule="exact"/>
        <w:jc w:val="center"/>
        <w:rPr>
          <w:rFonts w:ascii="宋体" w:hAnsi="宋体" w:eastAsia="方正仿宋_GBK"/>
          <w:color w:val="000000"/>
          <w:sz w:val="32"/>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9060" w:type="dxa"/>
            <w:tcBorders>
              <w:top w:val="nil"/>
              <w:left w:val="nil"/>
              <w:bottom w:val="single" w:color="FF0000" w:sz="12" w:space="0"/>
              <w:right w:val="nil"/>
            </w:tcBorders>
            <w:vAlign w:val="top"/>
          </w:tcPr>
          <w:p>
            <w:pPr>
              <w:pStyle w:val="4"/>
              <w:keepNext w:val="0"/>
              <w:keepLines w:val="0"/>
              <w:suppressLineNumbers w:val="0"/>
              <w:spacing w:before="0" w:beforeAutospacing="0" w:after="0" w:afterAutospacing="0" w:line="540" w:lineRule="exact"/>
              <w:ind w:left="0" w:right="0"/>
              <w:jc w:val="center"/>
              <w:rPr>
                <w:rFonts w:hint="default" w:ascii="宋体" w:hAnsi="宋体" w:eastAsia="仿宋_GB2312"/>
                <w:color w:val="000000"/>
                <w:sz w:val="34"/>
                <w:szCs w:val="34"/>
                <w:lang w:val="en-US" w:eastAsia="zh-CN"/>
              </w:rPr>
            </w:pPr>
            <w:bookmarkStart w:id="5" w:name="_GoBack"/>
            <w:r>
              <w:rPr>
                <w:rFonts w:hint="eastAsia" w:hAnsi="宋体" w:eastAsia="仿宋_GB2312"/>
                <w:color w:val="000000"/>
                <w:sz w:val="34"/>
                <w:szCs w:val="34"/>
                <w:lang w:eastAsia="zh-CN"/>
              </w:rPr>
              <w:t>闽科协普〔</w:t>
            </w:r>
            <w:r>
              <w:rPr>
                <w:rFonts w:hint="eastAsia" w:hAnsi="宋体" w:eastAsia="仿宋_GB2312"/>
                <w:color w:val="000000"/>
                <w:sz w:val="34"/>
                <w:szCs w:val="34"/>
                <w:lang w:val="en-US" w:eastAsia="zh-CN"/>
              </w:rPr>
              <w:t>2025</w:t>
            </w:r>
            <w:r>
              <w:rPr>
                <w:rFonts w:hint="eastAsia" w:hAnsi="宋体" w:eastAsia="仿宋_GB2312"/>
                <w:color w:val="000000"/>
                <w:sz w:val="34"/>
                <w:szCs w:val="34"/>
                <w:lang w:eastAsia="zh-CN"/>
              </w:rPr>
              <w:t>〕</w:t>
            </w:r>
            <w:r>
              <w:rPr>
                <w:rFonts w:hint="eastAsia" w:hAnsi="宋体" w:eastAsia="仿宋_GB2312"/>
                <w:color w:val="000000"/>
                <w:sz w:val="34"/>
                <w:szCs w:val="34"/>
                <w:lang w:val="en-US" w:eastAsia="zh-CN"/>
              </w:rPr>
              <w:t>31号</w:t>
            </w:r>
            <w:bookmarkEnd w:id="5"/>
          </w:p>
        </w:tc>
      </w:tr>
    </w:tbl>
    <w:p>
      <w:pPr>
        <w:pStyle w:val="4"/>
        <w:spacing w:line="400" w:lineRule="exact"/>
        <w:outlineLvl w:val="0"/>
        <w:rPr>
          <w:rFonts w:ascii="仿宋_GB2312" w:hAnsi="宋体" w:eastAsia="仿宋_GB2312"/>
          <w:color w:val="auto"/>
          <w:sz w:val="32"/>
        </w:rPr>
      </w:pPr>
    </w:p>
    <w:p>
      <w:pPr>
        <w:pStyle w:val="4"/>
        <w:spacing w:line="400" w:lineRule="exact"/>
        <w:jc w:val="center"/>
        <w:outlineLvl w:val="0"/>
        <w:rPr>
          <w:rFonts w:ascii="仿宋_GB2312" w:hAnsi="宋体" w:eastAsia="仿宋_GB2312"/>
          <w:color w:val="auto"/>
          <w:sz w:val="32"/>
        </w:rPr>
      </w:pPr>
    </w:p>
    <w:p>
      <w:pPr>
        <w:overflowPunct w:val="0"/>
        <w:autoSpaceDE w:val="0"/>
        <w:autoSpaceDN w:val="0"/>
        <w:adjustRightInd w:val="0"/>
        <w:spacing w:line="700" w:lineRule="exact"/>
        <w:jc w:val="center"/>
        <w:textAlignment w:val="bottom"/>
        <w:rPr>
          <w:rFonts w:ascii="方正小标宋简体" w:eastAsia="方正小标宋简体"/>
          <w:color w:val="auto"/>
          <w:sz w:val="44"/>
          <w:szCs w:val="44"/>
        </w:rPr>
      </w:pPr>
      <w:r>
        <w:rPr>
          <w:rFonts w:hint="eastAsia" w:ascii="方正小标宋简体" w:eastAsia="方正小标宋简体"/>
          <w:color w:val="auto"/>
          <w:sz w:val="44"/>
          <w:szCs w:val="44"/>
        </w:rPr>
        <w:t>福建省科协 福建省教育厅关于开展2025年</w:t>
      </w:r>
    </w:p>
    <w:p>
      <w:pPr>
        <w:overflowPunct w:val="0"/>
        <w:autoSpaceDE w:val="0"/>
        <w:autoSpaceDN w:val="0"/>
        <w:adjustRightInd w:val="0"/>
        <w:spacing w:line="700" w:lineRule="exact"/>
        <w:jc w:val="center"/>
        <w:textAlignment w:val="bottom"/>
        <w:rPr>
          <w:rFonts w:ascii="方正小标宋简体" w:eastAsia="方正小标宋简体"/>
          <w:color w:val="auto"/>
          <w:sz w:val="44"/>
          <w:szCs w:val="44"/>
        </w:rPr>
      </w:pPr>
      <w:r>
        <w:rPr>
          <w:rFonts w:hint="eastAsia" w:ascii="方正小标宋简体" w:eastAsia="方正小标宋简体"/>
          <w:color w:val="auto"/>
          <w:sz w:val="44"/>
          <w:szCs w:val="44"/>
        </w:rPr>
        <w:t xml:space="preserve"> “中学生英才计划”工作的通知</w:t>
      </w:r>
    </w:p>
    <w:p>
      <w:pPr>
        <w:overflowPunct w:val="0"/>
        <w:autoSpaceDE w:val="0"/>
        <w:autoSpaceDN w:val="0"/>
        <w:adjustRightInd w:val="0"/>
        <w:spacing w:line="540" w:lineRule="exact"/>
        <w:textAlignment w:val="bottom"/>
        <w:rPr>
          <w:rFonts w:ascii="仿宋_GB2312" w:hAnsi="仿宋" w:eastAsia="仿宋_GB2312"/>
          <w:color w:val="auto"/>
          <w:sz w:val="32"/>
          <w:szCs w:val="32"/>
        </w:rPr>
      </w:pPr>
    </w:p>
    <w:p>
      <w:pPr>
        <w:spacing w:line="600" w:lineRule="exact"/>
        <w:rPr>
          <w:rFonts w:ascii="仿宋_GB2312" w:hAnsi="仿宋" w:eastAsia="仿宋_GB2312"/>
          <w:color w:val="auto"/>
          <w:sz w:val="32"/>
          <w:szCs w:val="32"/>
        </w:rPr>
      </w:pPr>
      <w:r>
        <w:rPr>
          <w:rFonts w:hint="eastAsia" w:ascii="仿宋_GB2312" w:hAnsi="仿宋" w:eastAsia="仿宋_GB2312"/>
          <w:color w:val="auto"/>
          <w:sz w:val="32"/>
          <w:szCs w:val="32"/>
        </w:rPr>
        <w:t>厦</w:t>
      </w:r>
      <w:r>
        <w:rPr>
          <w:rFonts w:hint="eastAsia" w:ascii="仿宋_GB2312" w:eastAsia="仿宋_GB2312"/>
          <w:color w:val="auto"/>
          <w:sz w:val="32"/>
          <w:szCs w:val="32"/>
        </w:rPr>
        <w:t>门大学、福州大学，福州市、厦门市、泉州市、漳州市、龙岩</w:t>
      </w:r>
      <w:r>
        <w:rPr>
          <w:rFonts w:hint="eastAsia" w:ascii="仿宋_GB2312" w:hAnsi="仿宋" w:eastAsia="仿宋_GB2312"/>
          <w:color w:val="auto"/>
          <w:sz w:val="32"/>
          <w:szCs w:val="32"/>
        </w:rPr>
        <w:t>市、莆田市、南平市科协、教育局：</w:t>
      </w:r>
    </w:p>
    <w:p>
      <w:pPr>
        <w:spacing w:line="600" w:lineRule="exact"/>
        <w:ind w:firstLine="640" w:firstLineChars="200"/>
        <w:textAlignment w:val="center"/>
        <w:rPr>
          <w:rFonts w:ascii="仿宋_GB2312" w:hAnsi="仿宋" w:eastAsia="仿宋_GB2312"/>
          <w:color w:val="auto"/>
          <w:sz w:val="32"/>
          <w:szCs w:val="32"/>
        </w:rPr>
      </w:pPr>
      <w:r>
        <w:rPr>
          <w:rFonts w:hint="eastAsia" w:ascii="仿宋_GB2312" w:hAnsi="仿宋" w:eastAsia="仿宋_GB2312"/>
          <w:color w:val="auto"/>
          <w:sz w:val="32"/>
          <w:szCs w:val="32"/>
        </w:rPr>
        <w:t>根据中国科协办公厅、教育部办公厅下发的《“中学生英才计划”工作管理办法（试行）》和《关于开展2025年“中学生英才计划”工作的通知》有关要求，培养基础学科拔尖创新后备人才，经研究，我省将继续开展福建省</w:t>
      </w:r>
      <w:bookmarkStart w:id="0" w:name="OLE_LINK1"/>
      <w:r>
        <w:rPr>
          <w:rFonts w:hint="eastAsia" w:ascii="仿宋_GB2312" w:hAnsi="仿宋" w:eastAsia="仿宋_GB2312"/>
          <w:color w:val="auto"/>
          <w:sz w:val="32"/>
          <w:szCs w:val="32"/>
        </w:rPr>
        <w:t>“中学生英才计划”</w:t>
      </w:r>
      <w:bookmarkEnd w:id="0"/>
      <w:r>
        <w:rPr>
          <w:rFonts w:hint="eastAsia" w:ascii="仿宋_GB2312" w:hAnsi="仿宋" w:eastAsia="仿宋_GB2312"/>
          <w:color w:val="auto"/>
          <w:sz w:val="32"/>
          <w:szCs w:val="32"/>
        </w:rPr>
        <w:t>组织实施工作。</w:t>
      </w:r>
    </w:p>
    <w:p>
      <w:pPr>
        <w:spacing w:line="600" w:lineRule="exact"/>
        <w:ind w:firstLine="640" w:firstLineChars="200"/>
        <w:textAlignment w:val="center"/>
        <w:rPr>
          <w:rFonts w:ascii="仿宋_GB2312" w:eastAsia="仿宋_GB2312"/>
          <w:color w:val="auto"/>
          <w:sz w:val="32"/>
          <w:szCs w:val="32"/>
        </w:rPr>
      </w:pPr>
      <w:r>
        <w:rPr>
          <w:rFonts w:hint="eastAsia" w:ascii="仿宋_GB2312" w:hAnsi="仿宋" w:eastAsia="仿宋_GB2312"/>
          <w:color w:val="auto"/>
          <w:sz w:val="32"/>
          <w:szCs w:val="32"/>
        </w:rPr>
        <w:t>请各相关高校、市级科协和教育局充分认识“中学生英才计划”的重要意义，坚持为党育人、为国育才，扎实做好组织实施工作，为科技创新后备人才的成长营造良好环境。</w:t>
      </w:r>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联系人:省青少年科技活动中心 李盼、郑振华，电话:0591-83336470（传真），邮箱:fjqszx</w:t>
      </w:r>
      <w:r>
        <w:rPr>
          <w:rFonts w:hint="eastAsia" w:ascii="仿宋_GB2312" w:eastAsia="仿宋_GB2312" w:hAnsiTheme="minorEastAsia" w:cstheme="minorEastAsia"/>
          <w:color w:val="auto"/>
          <w:sz w:val="32"/>
          <w:szCs w:val="32"/>
        </w:rPr>
        <w:t>@</w:t>
      </w:r>
      <w:r>
        <w:rPr>
          <w:rFonts w:hint="eastAsia" w:ascii="仿宋_GB2312" w:eastAsia="仿宋_GB2312"/>
          <w:color w:val="auto"/>
          <w:sz w:val="32"/>
          <w:szCs w:val="32"/>
        </w:rPr>
        <w:t>163.com。</w:t>
      </w:r>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rPr>
      </w:pPr>
      <w:r>
        <w:rPr>
          <w:rFonts w:hint="eastAsia" w:ascii="仿宋_GB2312" w:eastAsia="仿宋_GB2312"/>
          <w:color w:val="auto"/>
          <w:sz w:val="32"/>
          <w:szCs w:val="32"/>
        </w:rPr>
        <w:t>附件：</w:t>
      </w:r>
      <w:r>
        <w:rPr>
          <w:rFonts w:hint="eastAsia" w:ascii="仿宋_GB2312" w:hAnsi="仿宋" w:eastAsia="仿宋_GB2312"/>
          <w:color w:val="auto"/>
          <w:sz w:val="32"/>
          <w:szCs w:val="32"/>
        </w:rPr>
        <w:t>2025年福建省“中学生英才计划”工作实施方案</w:t>
      </w:r>
    </w:p>
    <w:p>
      <w:pPr>
        <w:overflowPunct w:val="0"/>
        <w:autoSpaceDE w:val="0"/>
        <w:autoSpaceDN w:val="0"/>
        <w:adjustRightInd w:val="0"/>
        <w:spacing w:line="600" w:lineRule="exact"/>
        <w:textAlignment w:val="bottom"/>
        <w:rPr>
          <w:rFonts w:ascii="仿宋_GB2312" w:eastAsia="仿宋_GB2312"/>
          <w:color w:val="auto"/>
          <w:sz w:val="32"/>
          <w:szCs w:val="32"/>
        </w:rPr>
      </w:pPr>
    </w:p>
    <w:p>
      <w:pPr>
        <w:overflowPunct w:val="0"/>
        <w:autoSpaceDE w:val="0"/>
        <w:autoSpaceDN w:val="0"/>
        <w:adjustRightInd w:val="0"/>
        <w:spacing w:line="600" w:lineRule="exact"/>
        <w:textAlignment w:val="bottom"/>
        <w:rPr>
          <w:rFonts w:ascii="仿宋_GB2312" w:eastAsia="仿宋_GB2312"/>
          <w:color w:val="auto"/>
          <w:sz w:val="32"/>
          <w:szCs w:val="32"/>
        </w:rPr>
      </w:pPr>
    </w:p>
    <w:p>
      <w:pPr>
        <w:overflowPunct w:val="0"/>
        <w:autoSpaceDE w:val="0"/>
        <w:autoSpaceDN w:val="0"/>
        <w:adjustRightInd w:val="0"/>
        <w:spacing w:line="600" w:lineRule="exact"/>
        <w:textAlignment w:val="bottom"/>
        <w:rPr>
          <w:rFonts w:ascii="仿宋_GB2312" w:eastAsia="仿宋_GB2312"/>
          <w:color w:val="auto"/>
          <w:sz w:val="32"/>
          <w:szCs w:val="32"/>
        </w:rPr>
      </w:pPr>
    </w:p>
    <w:p>
      <w:pPr>
        <w:overflowPunct w:val="0"/>
        <w:autoSpaceDE w:val="0"/>
        <w:autoSpaceDN w:val="0"/>
        <w:adjustRightInd w:val="0"/>
        <w:spacing w:line="600" w:lineRule="exact"/>
        <w:jc w:val="center"/>
        <w:textAlignment w:val="bottom"/>
        <w:rPr>
          <w:rFonts w:ascii="仿宋_GB2312" w:eastAsia="仿宋_GB2312"/>
          <w:color w:val="auto"/>
          <w:sz w:val="32"/>
          <w:szCs w:val="32"/>
        </w:rPr>
      </w:pPr>
      <w:r>
        <w:rPr>
          <w:rFonts w:hint="eastAsia" w:ascii="仿宋_GB2312" w:eastAsia="仿宋_GB2312"/>
          <w:color w:val="auto"/>
          <w:sz w:val="32"/>
          <w:szCs w:val="32"/>
        </w:rPr>
        <w:t>福建省科协                  福建省教育厅</w:t>
      </w:r>
    </w:p>
    <w:p>
      <w:pPr>
        <w:overflowPunct w:val="0"/>
        <w:autoSpaceDE w:val="0"/>
        <w:autoSpaceDN w:val="0"/>
        <w:adjustRightInd w:val="0"/>
        <w:spacing w:line="600" w:lineRule="exact"/>
        <w:ind w:right="840" w:rightChars="400" w:firstLine="5721" w:firstLineChars="1788"/>
        <w:textAlignment w:val="bottom"/>
        <w:rPr>
          <w:rFonts w:ascii="仿宋_GB2312" w:eastAsia="仿宋_GB2312"/>
          <w:color w:val="auto"/>
          <w:sz w:val="32"/>
          <w:szCs w:val="32"/>
        </w:rPr>
      </w:pPr>
      <w:r>
        <w:rPr>
          <w:rFonts w:hint="eastAsia" w:ascii="仿宋_GB2312" w:eastAsia="仿宋_GB2312"/>
          <w:color w:val="auto"/>
          <w:sz w:val="32"/>
          <w:szCs w:val="32"/>
        </w:rPr>
        <w:t xml:space="preserve">2025年8月1日  </w:t>
      </w:r>
      <w:r>
        <w:rPr>
          <w:rFonts w:ascii="仿宋_GB2312" w:eastAsia="仿宋_GB2312"/>
          <w:color w:val="auto"/>
          <w:sz w:val="32"/>
          <w:szCs w:val="32"/>
        </w:rPr>
        <w:br w:type="page"/>
      </w:r>
    </w:p>
    <w:p>
      <w:pPr>
        <w:spacing w:line="600" w:lineRule="exact"/>
        <w:jc w:val="left"/>
        <w:rPr>
          <w:rFonts w:ascii="仿宋_GB2312" w:hAnsi="宋体" w:eastAsia="仿宋_GB2312"/>
          <w:color w:val="auto"/>
          <w:sz w:val="32"/>
          <w:szCs w:val="32"/>
        </w:rPr>
      </w:pPr>
      <w:r>
        <w:rPr>
          <w:rFonts w:hint="eastAsia" w:ascii="黑体" w:hAnsi="黑体" w:eastAsia="黑体"/>
          <w:color w:val="auto"/>
          <w:sz w:val="32"/>
        </w:rPr>
        <w:t>附件</w:t>
      </w:r>
    </w:p>
    <w:p>
      <w:pPr>
        <w:keepNext w:val="0"/>
        <w:keepLines w:val="0"/>
        <w:pageBreakBefore w:val="0"/>
        <w:widowControl w:val="0"/>
        <w:kinsoku/>
        <w:wordWrap/>
        <w:overflowPunct/>
        <w:topLinePunct w:val="0"/>
        <w:autoSpaceDE/>
        <w:autoSpaceDN/>
        <w:bidi w:val="0"/>
        <w:adjustRightInd/>
        <w:snapToGrid/>
        <w:spacing w:before="313" w:beforeLines="100" w:line="66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2025年福建省“中学生英才计划”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eastAsia="方正小标宋简体"/>
          <w:color w:val="auto"/>
          <w:sz w:val="44"/>
          <w:szCs w:val="44"/>
        </w:rPr>
      </w:pPr>
      <w:r>
        <w:rPr>
          <w:rFonts w:hint="eastAsia" w:ascii="方正小标宋简体" w:eastAsia="方正小标宋简体"/>
          <w:color w:val="auto"/>
          <w:sz w:val="44"/>
          <w:szCs w:val="44"/>
        </w:rPr>
        <w:t>工作实施方案</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outlineLvl w:val="0"/>
      </w:pP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一、目的</w:t>
      </w:r>
    </w:p>
    <w:p>
      <w:pPr>
        <w:spacing w:line="600" w:lineRule="exact"/>
        <w:ind w:firstLine="640" w:firstLineChars="200"/>
        <w:contextualSpacing/>
        <w:rPr>
          <w:rFonts w:ascii="仿宋_GB2312" w:hAnsi="仿宋" w:eastAsia="仿宋_GB2312"/>
          <w:color w:val="auto"/>
          <w:sz w:val="32"/>
          <w:szCs w:val="32"/>
        </w:rPr>
      </w:pPr>
      <w:r>
        <w:rPr>
          <w:rFonts w:hint="eastAsia" w:ascii="仿宋_GB2312" w:hAnsi="仿宋" w:eastAsia="仿宋_GB2312"/>
          <w:color w:val="auto"/>
          <w:sz w:val="32"/>
          <w:szCs w:val="32"/>
        </w:rPr>
        <w:t>为培养基础学科拔尖创新后备人才，为建设科技强国输送后备力量，根据中国科协办公厅、教育部办公厅下发的《关于开展2025年“中学生英才计划”工作的通知》有关要求，福建省科协、省教育厅将继续在厦门大学、福州大学组织开展中学生科技创新后备人才培养计划（以下称为“中学生英才计划”）工作。</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二、实施范围</w:t>
      </w:r>
    </w:p>
    <w:p>
      <w:pPr>
        <w:spacing w:line="600" w:lineRule="exact"/>
        <w:ind w:firstLine="640" w:firstLineChars="200"/>
        <w:textAlignment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（一）设区市</w:t>
      </w:r>
    </w:p>
    <w:p>
      <w:pPr>
        <w:spacing w:line="600" w:lineRule="exact"/>
        <w:ind w:firstLine="640" w:firstLineChars="200"/>
        <w:textAlignment w:val="center"/>
        <w:rPr>
          <w:rFonts w:ascii="仿宋_GB2312" w:hAnsi="仿宋" w:eastAsia="仿宋_GB2312"/>
          <w:color w:val="auto"/>
          <w:sz w:val="32"/>
          <w:szCs w:val="32"/>
        </w:rPr>
      </w:pPr>
      <w:r>
        <w:rPr>
          <w:rFonts w:hint="eastAsia" w:ascii="仿宋_GB2312" w:eastAsia="仿宋_GB2312"/>
          <w:color w:val="auto"/>
          <w:sz w:val="32"/>
          <w:szCs w:val="32"/>
        </w:rPr>
        <w:t>福州、厦门、泉州、漳州、龙岩</w:t>
      </w:r>
      <w:r>
        <w:rPr>
          <w:rFonts w:hint="eastAsia" w:ascii="仿宋_GB2312" w:hAnsi="仿宋" w:eastAsia="仿宋_GB2312"/>
          <w:color w:val="auto"/>
          <w:sz w:val="32"/>
          <w:szCs w:val="32"/>
        </w:rPr>
        <w:t>、莆田、南平。</w:t>
      </w:r>
    </w:p>
    <w:p>
      <w:pPr>
        <w:spacing w:line="600" w:lineRule="exact"/>
        <w:ind w:firstLine="640" w:firstLineChars="200"/>
        <w:textAlignment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（二）高校和学科</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厦门大学：数学、物理、化学、生物和计算机；</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福州大学：数学、物理、化学和计算机。</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三、导师推荐与学生遴选</w:t>
      </w:r>
    </w:p>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导师推荐和学生遴选工作按照福建省</w:t>
      </w:r>
      <w:r>
        <w:rPr>
          <w:rFonts w:hint="eastAsia" w:ascii="仿宋_GB2312" w:hAnsi="黑体" w:eastAsia="仿宋_GB2312"/>
          <w:color w:val="auto"/>
          <w:sz w:val="32"/>
          <w:szCs w:val="32"/>
        </w:rPr>
        <w:t>“中学生英才计划”</w:t>
      </w:r>
      <w:r>
        <w:rPr>
          <w:rFonts w:hint="eastAsia" w:ascii="仿宋_GB2312" w:hAnsi="仿宋" w:eastAsia="仿宋_GB2312"/>
          <w:color w:val="auto"/>
          <w:sz w:val="32"/>
          <w:szCs w:val="32"/>
        </w:rPr>
        <w:t>管理办公室下发的《关于开展2025年“中学生英才计划”工作的预通知》执行。经各设区市推荐、学科潜质测试和导师面试，2025年福建省</w:t>
      </w:r>
      <w:r>
        <w:rPr>
          <w:rFonts w:hint="eastAsia" w:ascii="仿宋_GB2312" w:hAnsi="黑体" w:eastAsia="仿宋_GB2312"/>
          <w:color w:val="auto"/>
          <w:sz w:val="32"/>
          <w:szCs w:val="32"/>
        </w:rPr>
        <w:t>“中学生英才计划”的</w:t>
      </w:r>
      <w:r>
        <w:rPr>
          <w:rFonts w:hint="eastAsia" w:ascii="仿宋_GB2312" w:hAnsi="仿宋" w:eastAsia="仿宋_GB2312"/>
          <w:color w:val="auto"/>
          <w:sz w:val="32"/>
          <w:szCs w:val="32"/>
        </w:rPr>
        <w:t>入选学生人数为106名，包含厦门大学</w:t>
      </w:r>
      <w:r>
        <w:rPr>
          <w:rFonts w:hint="eastAsia" w:ascii="仿宋_GB2312" w:eastAsia="仿宋_GB2312"/>
          <w:color w:val="auto"/>
          <w:sz w:val="32"/>
          <w:szCs w:val="32"/>
        </w:rPr>
        <w:t>75名、福州大学31名。</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四、学生培养</w:t>
      </w:r>
    </w:p>
    <w:p>
      <w:pPr>
        <w:spacing w:line="600" w:lineRule="exact"/>
        <w:ind w:firstLine="643" w:firstLineChars="200"/>
        <w:textAlignment w:val="center"/>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(一)培养周期</w:t>
      </w:r>
    </w:p>
    <w:p>
      <w:pPr>
        <w:spacing w:line="600" w:lineRule="exact"/>
        <w:ind w:firstLine="640" w:firstLineChars="200"/>
        <w:textAlignment w:val="center"/>
        <w:rPr>
          <w:rFonts w:ascii="仿宋_GB2312" w:hAnsi="黑体" w:eastAsia="仿宋_GB2312"/>
          <w:color w:val="auto"/>
          <w:sz w:val="32"/>
          <w:szCs w:val="32"/>
        </w:rPr>
      </w:pPr>
      <w:r>
        <w:rPr>
          <w:rFonts w:hint="eastAsia" w:ascii="仿宋_GB2312" w:hAnsi="黑体" w:eastAsia="仿宋_GB2312"/>
          <w:color w:val="auto"/>
          <w:sz w:val="32"/>
          <w:szCs w:val="32"/>
        </w:rPr>
        <w:t>“中学生英才计划”学生培养周期为一年(2025年8月—2026年8月，可酌情调整)。</w:t>
      </w:r>
    </w:p>
    <w:p>
      <w:pPr>
        <w:spacing w:line="600" w:lineRule="exact"/>
        <w:ind w:firstLine="643" w:firstLineChars="200"/>
        <w:textAlignment w:val="center"/>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(二)培养方式</w:t>
      </w:r>
    </w:p>
    <w:p>
      <w:pPr>
        <w:spacing w:line="600" w:lineRule="exact"/>
        <w:ind w:firstLine="640" w:firstLineChars="200"/>
        <w:textAlignment w:val="center"/>
        <w:rPr>
          <w:rFonts w:ascii="仿宋_GB2312" w:hAnsi="黑体" w:eastAsia="仿宋_GB2312"/>
          <w:color w:val="auto"/>
          <w:sz w:val="32"/>
          <w:szCs w:val="32"/>
        </w:rPr>
      </w:pPr>
      <w:r>
        <w:rPr>
          <w:rFonts w:hint="eastAsia" w:ascii="仿宋_GB2312" w:hAnsi="黑体" w:eastAsia="仿宋_GB2312"/>
          <w:color w:val="auto"/>
          <w:sz w:val="32"/>
          <w:szCs w:val="32"/>
        </w:rPr>
        <w:t>1.导师培养。导师应充分利用高校科研平台和学术资源对学生进行培养，根据学生不同特点制定切实可行的个性化培养方案，指定阅读书目、参加学术讨论、听取学术报告、指导课题研究等，使学生真正了解学科发展方向，切实体验科研过程。对于兴趣爱好或科研项目属于交叉学科或边缘学科的学生，可以进行高校内部不同学科导师、不同实验室或校际间的合作培养。导师应保证必要的时间和精力投入，对学生进行当面指导。鼓励导师到中学开展学科前沿讲座、课题研究和科学实践指导，扩大英才计划影响。</w:t>
      </w:r>
    </w:p>
    <w:p>
      <w:pPr>
        <w:spacing w:line="600" w:lineRule="exact"/>
        <w:ind w:firstLine="640" w:firstLineChars="200"/>
        <w:textAlignment w:val="center"/>
        <w:rPr>
          <w:rFonts w:ascii="仿宋_GB2312" w:hAnsi="黑体" w:eastAsia="仿宋_GB2312"/>
          <w:color w:val="auto"/>
          <w:sz w:val="32"/>
          <w:szCs w:val="32"/>
        </w:rPr>
      </w:pPr>
      <w:r>
        <w:rPr>
          <w:rFonts w:hint="eastAsia" w:ascii="仿宋_GB2312" w:hAnsi="黑体" w:eastAsia="仿宋_GB2312"/>
          <w:color w:val="auto"/>
          <w:sz w:val="32"/>
          <w:szCs w:val="32"/>
        </w:rPr>
        <w:t>2.科学实践与交流活动。省级管理办公室将推荐优秀学生参与全国举办的综合性实践活动和我省组织举办的科技人文交流活动，提高对科学前沿的认识，开阔科学视野。</w:t>
      </w:r>
    </w:p>
    <w:p>
      <w:pPr>
        <w:spacing w:line="600" w:lineRule="exact"/>
        <w:ind w:firstLine="643" w:firstLineChars="200"/>
        <w:textAlignment w:val="center"/>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(三)学生评价</w:t>
      </w:r>
    </w:p>
    <w:p>
      <w:pPr>
        <w:spacing w:line="600" w:lineRule="exact"/>
        <w:ind w:firstLine="640" w:firstLineChars="200"/>
        <w:textAlignment w:val="center"/>
        <w:rPr>
          <w:rFonts w:ascii="仿宋_GB2312" w:hAnsi="黑体" w:eastAsia="仿宋_GB2312"/>
          <w:color w:val="auto"/>
          <w:sz w:val="32"/>
          <w:szCs w:val="32"/>
        </w:rPr>
      </w:pPr>
      <w:r>
        <w:rPr>
          <w:rFonts w:hint="eastAsia" w:ascii="仿宋_GB2312" w:hAnsi="黑体" w:eastAsia="仿宋_GB2312"/>
          <w:color w:val="auto"/>
          <w:sz w:val="32"/>
          <w:szCs w:val="32"/>
        </w:rPr>
        <w:t>1.2025年9月，导师登录“中学生英才计划”官网，对入选学生培养状态、课题选题及进展等情况填写初期评价意见。</w:t>
      </w:r>
    </w:p>
    <w:p>
      <w:pPr>
        <w:spacing w:line="600" w:lineRule="exact"/>
        <w:ind w:firstLine="640" w:firstLineChars="200"/>
        <w:textAlignment w:val="center"/>
        <w:rPr>
          <w:rFonts w:ascii="仿宋_GB2312" w:hAnsi="黑体" w:eastAsia="仿宋_GB2312"/>
          <w:color w:val="auto"/>
          <w:sz w:val="32"/>
          <w:szCs w:val="32"/>
        </w:rPr>
      </w:pPr>
      <w:r>
        <w:rPr>
          <w:rFonts w:hint="eastAsia" w:ascii="仿宋_GB2312" w:hAnsi="黑体" w:eastAsia="仿宋_GB2312"/>
          <w:color w:val="auto"/>
          <w:sz w:val="32"/>
          <w:szCs w:val="32"/>
        </w:rPr>
        <w:t>2.2025年12月，省级管理办公室、高校组织入选学生进行中期汇报，导师团队结合学生日常培养情况对入选学生进行中期评价，不合格者退出培养。</w:t>
      </w:r>
    </w:p>
    <w:p>
      <w:pPr>
        <w:spacing w:line="600" w:lineRule="exact"/>
        <w:ind w:firstLine="640" w:firstLineChars="200"/>
        <w:rPr>
          <w:rFonts w:ascii="仿宋_GB2312" w:eastAsia="仿宋_GB2312"/>
          <w:color w:val="auto"/>
          <w:sz w:val="32"/>
          <w:szCs w:val="32"/>
        </w:rPr>
      </w:pPr>
      <w:r>
        <w:rPr>
          <w:rFonts w:hint="eastAsia" w:ascii="仿宋_GB2312" w:hAnsi="黑体" w:eastAsia="仿宋_GB2312"/>
          <w:color w:val="auto"/>
          <w:sz w:val="32"/>
          <w:szCs w:val="32"/>
        </w:rPr>
        <w:t>3.2026年8月，学生提交课题报告（可独立或联合本校科技特长生共同完成）、培养报告、导师评价等材料。省级管理办公室、高校组织进行年度评价。</w:t>
      </w:r>
      <w:r>
        <w:rPr>
          <w:rFonts w:hint="eastAsia" w:ascii="仿宋_GB2312" w:eastAsia="仿宋_GB2312"/>
          <w:color w:val="auto"/>
          <w:sz w:val="32"/>
          <w:szCs w:val="32"/>
        </w:rPr>
        <w:t>如期按要求完成培养任务的学生将由全国或省级管理办公室授予培养证书。</w:t>
      </w:r>
    </w:p>
    <w:p>
      <w:pPr>
        <w:spacing w:line="600" w:lineRule="exact"/>
        <w:ind w:firstLine="640" w:firstLineChars="200"/>
        <w:textAlignment w:val="center"/>
        <w:rPr>
          <w:rFonts w:ascii="黑体" w:hAnsi="黑体" w:eastAsia="黑体" w:cs="黑体"/>
          <w:color w:val="auto"/>
          <w:sz w:val="32"/>
          <w:szCs w:val="32"/>
        </w:rPr>
      </w:pPr>
      <w:r>
        <w:rPr>
          <w:rFonts w:hint="eastAsia" w:ascii="黑体" w:hAnsi="黑体" w:eastAsia="黑体" w:cs="黑体"/>
          <w:color w:val="auto"/>
          <w:sz w:val="32"/>
          <w:szCs w:val="32"/>
        </w:rPr>
        <w:t>五、保障措施</w:t>
      </w:r>
    </w:p>
    <w:p>
      <w:pPr>
        <w:spacing w:line="600" w:lineRule="exact"/>
        <w:ind w:firstLine="643" w:firstLineChars="200"/>
        <w:textAlignment w:val="center"/>
        <w:rPr>
          <w:rFonts w:ascii="楷体_GB2312" w:hAnsi="楷体_GB2312" w:eastAsia="楷体_GB2312" w:cs="楷体_GB2312"/>
          <w:b/>
          <w:color w:val="auto"/>
          <w:sz w:val="32"/>
          <w:szCs w:val="32"/>
        </w:rPr>
      </w:pPr>
      <w:bookmarkStart w:id="1" w:name="OLE_LINK2"/>
      <w:bookmarkStart w:id="2" w:name="OLE_LINK3"/>
      <w:r>
        <w:rPr>
          <w:rFonts w:hint="eastAsia" w:ascii="楷体_GB2312" w:hAnsi="楷体_GB2312" w:eastAsia="楷体_GB2312" w:cs="楷体_GB2312"/>
          <w:b/>
          <w:color w:val="auto"/>
          <w:sz w:val="32"/>
          <w:szCs w:val="32"/>
        </w:rPr>
        <w:t>（一）组织保障</w:t>
      </w:r>
    </w:p>
    <w:bookmarkEnd w:id="1"/>
    <w:bookmarkEnd w:id="2"/>
    <w:p>
      <w:pPr>
        <w:spacing w:line="600" w:lineRule="exact"/>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2025年福建省“中学生英才计划”工作由福建省科协、省教育厅、厦门大学、福州大学、相关设区市科协、教育局和有关中学共同参与实施。</w:t>
      </w:r>
    </w:p>
    <w:p>
      <w:pPr>
        <w:spacing w:line="600" w:lineRule="exact"/>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管理办公室设在福建省青少年科技活动中心，负责制定我省中学生“中学生英才计划”工作实施方案、管理办法等；搭建高校导师与中学教师交流平台；对“中学生英才计划”典型案例进行挖掘与宣传；组织省级工作总结评估。</w:t>
      </w:r>
    </w:p>
    <w:p>
      <w:pPr>
        <w:spacing w:line="600" w:lineRule="exact"/>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厦门大学和福州大学对已升入本校的“中学生英才计划”学生进行跟踪，鼓励学生进入“基础学科拔尖学生培养计划”，促进基础教育和高等教育两个阶段拔尖创新人才培养工作的有效衔接。相关设区市科协、教育局协助参与本地区学生的</w:t>
      </w:r>
      <w:r>
        <w:rPr>
          <w:rFonts w:hint="eastAsia" w:ascii="仿宋_GB2312" w:hAnsi="仿宋" w:eastAsia="仿宋_GB2312"/>
          <w:color w:val="auto"/>
          <w:sz w:val="32"/>
          <w:szCs w:val="32"/>
          <w:lang w:val="en-US" w:eastAsia="zh-CN"/>
        </w:rPr>
        <w:t>评价</w:t>
      </w:r>
      <w:r>
        <w:rPr>
          <w:rFonts w:hint="eastAsia" w:ascii="仿宋_GB2312" w:hAnsi="仿宋" w:eastAsia="仿宋_GB2312"/>
          <w:color w:val="auto"/>
          <w:sz w:val="32"/>
          <w:szCs w:val="32"/>
        </w:rPr>
        <w:t>和跟踪。</w:t>
      </w:r>
    </w:p>
    <w:p>
      <w:pPr>
        <w:adjustRightInd w:val="0"/>
        <w:snapToGrid w:val="0"/>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参与“中学生英才计划”中学指派专人负责日常工作，保持与导师团队、省级管理办公室的有效沟通，实时反馈培养工作开展情况；</w:t>
      </w:r>
      <w:r>
        <w:rPr>
          <w:rFonts w:hint="eastAsia" w:ascii="仿宋_GB2312" w:hAnsi="仿宋" w:eastAsia="仿宋_GB2312"/>
          <w:color w:val="auto"/>
          <w:sz w:val="32"/>
          <w:szCs w:val="32"/>
          <w:lang w:val="en-US" w:eastAsia="zh-CN"/>
        </w:rPr>
        <w:t>配合做好学生评价</w:t>
      </w:r>
      <w:r>
        <w:rPr>
          <w:rFonts w:hint="eastAsia" w:ascii="仿宋_GB2312" w:hAnsi="黑体" w:eastAsia="仿宋_GB2312"/>
          <w:color w:val="auto"/>
          <w:sz w:val="32"/>
          <w:szCs w:val="32"/>
        </w:rPr>
        <w:t>以及毕业升学和就业跟踪等工作</w:t>
      </w:r>
      <w:r>
        <w:rPr>
          <w:rFonts w:hint="eastAsia" w:ascii="仿宋_GB2312" w:hAnsi="仿宋" w:eastAsia="仿宋_GB2312"/>
          <w:color w:val="auto"/>
          <w:sz w:val="32"/>
          <w:szCs w:val="32"/>
        </w:rPr>
        <w:t>。</w:t>
      </w:r>
    </w:p>
    <w:p>
      <w:pPr>
        <w:adjustRightInd w:val="0"/>
        <w:snapToGrid w:val="0"/>
        <w:spacing w:line="60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（二）资源保障</w:t>
      </w:r>
    </w:p>
    <w:p>
      <w:pPr>
        <w:spacing w:line="600" w:lineRule="exact"/>
        <w:ind w:firstLine="640" w:firstLineChars="200"/>
        <w:textAlignment w:val="center"/>
        <w:rPr>
          <w:rFonts w:hint="eastAsia" w:ascii="仿宋_GB2312" w:hAnsi="仿宋" w:eastAsia="仿宋_GB2312"/>
          <w:color w:val="auto"/>
          <w:sz w:val="32"/>
          <w:szCs w:val="32"/>
        </w:rPr>
      </w:pPr>
      <w:bookmarkStart w:id="3" w:name="OLE_LINK5"/>
      <w:bookmarkStart w:id="4" w:name="OLE_LINK4"/>
      <w:r>
        <w:rPr>
          <w:rFonts w:hint="eastAsia" w:ascii="仿宋_GB2312" w:hAnsi="仿宋" w:eastAsia="仿宋_GB2312"/>
          <w:color w:val="auto"/>
          <w:sz w:val="32"/>
          <w:szCs w:val="32"/>
        </w:rPr>
        <w:t>参与“中学生英才计划”中学要配备学科教师、开放实验室支持学生开展课题研究，将“中学生英才计划”纳入本校研究性学习、学科拓展、科技选修、创新实践等课程体系。</w:t>
      </w:r>
    </w:p>
    <w:p>
      <w:pPr>
        <w:spacing w:line="600" w:lineRule="exact"/>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厦门大学和福州大学</w:t>
      </w:r>
      <w:bookmarkEnd w:id="3"/>
      <w:bookmarkEnd w:id="4"/>
      <w:r>
        <w:rPr>
          <w:rFonts w:hint="eastAsia" w:ascii="仿宋_GB2312" w:hAnsi="仿宋" w:eastAsia="仿宋_GB2312"/>
          <w:color w:val="auto"/>
          <w:sz w:val="32"/>
          <w:szCs w:val="32"/>
        </w:rPr>
        <w:t>组织导师推进培养工作，协调重点实验室、图书馆、博物馆等教育资源、设施场所向学生开放，提供相关资源保障；组织学生参加科学实践、实习、学术报告、国际交流等活动与课程；试行开发先修课程，由相关学院负责编写课程内容。</w:t>
      </w:r>
    </w:p>
    <w:p>
      <w:pPr>
        <w:spacing w:line="600" w:lineRule="exact"/>
        <w:ind w:firstLine="643" w:firstLineChars="200"/>
        <w:textAlignment w:val="center"/>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（三）经费保障</w:t>
      </w:r>
    </w:p>
    <w:p>
      <w:pPr>
        <w:spacing w:line="600" w:lineRule="exact"/>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优先使用中国科协往年拨付的结余专项经费，不足部分由福建省青少年科技活动中心酌情补助，主要用于课程开发、协调宣传、培养交流、学生活动等。</w:t>
      </w:r>
    </w:p>
    <w:p>
      <w:pPr>
        <w:spacing w:line="600" w:lineRule="exact"/>
        <w:ind w:firstLine="643" w:firstLineChars="200"/>
        <w:textAlignment w:val="center"/>
        <w:rPr>
          <w:rFonts w:ascii="楷体_GB2312" w:hAnsi="楷体_GB2312" w:eastAsia="楷体_GB2312" w:cs="楷体_GB2312"/>
          <w:b/>
          <w:bCs/>
          <w:color w:val="auto"/>
          <w:sz w:val="32"/>
          <w:szCs w:val="32"/>
        </w:rPr>
      </w:pPr>
    </w:p>
    <w:p>
      <w:pPr>
        <w:spacing w:line="600" w:lineRule="exact"/>
        <w:ind w:firstLine="640" w:firstLineChars="200"/>
        <w:textAlignment w:val="center"/>
        <w:rPr>
          <w:rFonts w:ascii="仿宋_GB2312" w:hAnsi="仿宋" w:eastAsia="仿宋_GB2312"/>
          <w:color w:val="auto"/>
          <w:sz w:val="32"/>
          <w:szCs w:val="32"/>
        </w:rPr>
      </w:pPr>
    </w:p>
    <w:p>
      <w:pPr>
        <w:keepNext w:val="0"/>
        <w:keepLines w:val="0"/>
        <w:pageBreakBefore w:val="0"/>
        <w:widowControl w:val="0"/>
        <w:kinsoku/>
        <w:wordWrap/>
        <w:topLinePunct w:val="0"/>
        <w:bidi w:val="0"/>
        <w:snapToGrid/>
        <w:spacing w:line="600" w:lineRule="exact"/>
        <w:ind w:firstLine="640" w:firstLineChars="200"/>
        <w:textAlignment w:val="center"/>
        <w:outlineLvl w:val="9"/>
        <w:rPr>
          <w:rFonts w:ascii="仿宋_GB2312" w:hAnsi="仿宋" w:eastAsia="仿宋_GB2312"/>
          <w:color w:val="auto"/>
          <w:sz w:val="32"/>
          <w:szCs w:val="32"/>
        </w:rPr>
      </w:pPr>
    </w:p>
    <w:p>
      <w:pPr>
        <w:pStyle w:val="2"/>
        <w:pageBreakBefore w:val="0"/>
        <w:widowControl w:val="0"/>
        <w:kinsoku/>
        <w:wordWrap/>
        <w:overflowPunct/>
        <w:topLinePunct w:val="0"/>
        <w:autoSpaceDE/>
        <w:autoSpaceDN/>
        <w:bidi w:val="0"/>
        <w:adjustRightInd/>
        <w:snapToGrid/>
        <w:spacing w:before="0" w:after="0" w:line="460" w:lineRule="exact"/>
        <w:textAlignment w:val="auto"/>
      </w:pPr>
    </w:p>
    <w:p>
      <w:pPr>
        <w:pageBreakBefore w:val="0"/>
        <w:widowControl w:val="0"/>
        <w:kinsoku/>
        <w:wordWrap/>
        <w:overflowPunct/>
        <w:topLinePunct w:val="0"/>
        <w:autoSpaceDE/>
        <w:autoSpaceDN/>
        <w:bidi w:val="0"/>
        <w:adjustRightInd/>
        <w:snapToGrid/>
        <w:spacing w:line="460" w:lineRule="exact"/>
        <w:textAlignment w:val="auto"/>
      </w:pPr>
    </w:p>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outlineLvl w:val="0"/>
      </w:pPr>
    </w:p>
    <w:p/>
    <w:p>
      <w:pPr>
        <w:pStyle w:val="2"/>
        <w:keepNext/>
        <w:keepLines/>
        <w:pageBreakBefore w:val="0"/>
        <w:widowControl w:val="0"/>
        <w:kinsoku/>
        <w:wordWrap/>
        <w:overflowPunct/>
        <w:topLinePunct w:val="0"/>
        <w:autoSpaceDE/>
        <w:autoSpaceDN/>
        <w:bidi w:val="0"/>
        <w:adjustRightInd/>
        <w:snapToGrid/>
        <w:spacing w:before="0" w:after="0" w:line="579" w:lineRule="auto"/>
        <w:textAlignment w:val="auto"/>
        <w:outlineLvl w:val="0"/>
      </w:pPr>
    </w:p>
    <w:tbl>
      <w:tblPr>
        <w:tblStyle w:val="13"/>
        <w:tblpPr w:leftFromText="180" w:rightFromText="180" w:vertAnchor="text" w:horzAnchor="page" w:tblpX="1568" w:tblpY="923"/>
        <w:tblOverlap w:val="never"/>
        <w:tblW w:w="889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c>
          <w:tcPr>
            <w:tcW w:w="8890" w:type="dxa"/>
            <w:tcBorders>
              <w:tl2br w:val="nil"/>
              <w:tr2bl w:val="nil"/>
            </w:tcBorders>
            <w:vAlign w:val="center"/>
          </w:tcPr>
          <w:p>
            <w:pPr>
              <w:ind w:left="0" w:leftChars="0" w:firstLine="18" w:firstLineChars="6"/>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福建省科协办公室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 xml:space="preserve">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 xml:space="preserve">      202</w:t>
            </w: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8</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日印发</w:t>
            </w:r>
          </w:p>
        </w:tc>
      </w:tr>
    </w:tbl>
    <w:p>
      <w:pPr>
        <w:keepNext w:val="0"/>
        <w:keepLines w:val="0"/>
        <w:pageBreakBefore w:val="0"/>
        <w:widowControl w:val="0"/>
        <w:kinsoku/>
        <w:wordWrap/>
        <w:overflowPunct w:val="0"/>
        <w:topLinePunct w:val="0"/>
        <w:autoSpaceDE w:val="0"/>
        <w:autoSpaceDN w:val="0"/>
        <w:bidi w:val="0"/>
        <w:adjustRightInd w:val="0"/>
        <w:snapToGrid/>
        <w:spacing w:line="600" w:lineRule="exact"/>
        <w:ind w:right="840" w:rightChars="400"/>
        <w:textAlignment w:val="bottom"/>
        <w:outlineLvl w:val="9"/>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（主动公开）</w:t>
      </w:r>
    </w:p>
    <w:sectPr>
      <w:footerReference r:id="rId3" w:type="default"/>
      <w:pgSz w:w="11906" w:h="16838"/>
      <w:pgMar w:top="1587" w:right="1531" w:bottom="1587"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OGIwOTFjY2M0YzllM2M5YWYwOTY5MDBkZmYxMWMifQ=="/>
  </w:docVars>
  <w:rsids>
    <w:rsidRoot w:val="007B2A9D"/>
    <w:rsid w:val="000014DF"/>
    <w:rsid w:val="00003B08"/>
    <w:rsid w:val="00005486"/>
    <w:rsid w:val="000119EA"/>
    <w:rsid w:val="00014755"/>
    <w:rsid w:val="00014A1A"/>
    <w:rsid w:val="000163BF"/>
    <w:rsid w:val="00020A20"/>
    <w:rsid w:val="00021FE2"/>
    <w:rsid w:val="00023DA1"/>
    <w:rsid w:val="0002495F"/>
    <w:rsid w:val="00024E4A"/>
    <w:rsid w:val="000278CB"/>
    <w:rsid w:val="00034AB6"/>
    <w:rsid w:val="000351BF"/>
    <w:rsid w:val="00036392"/>
    <w:rsid w:val="000449F9"/>
    <w:rsid w:val="00044A7F"/>
    <w:rsid w:val="00044CE4"/>
    <w:rsid w:val="00051089"/>
    <w:rsid w:val="00057046"/>
    <w:rsid w:val="00061ABC"/>
    <w:rsid w:val="00061FF1"/>
    <w:rsid w:val="000656C0"/>
    <w:rsid w:val="00066D6E"/>
    <w:rsid w:val="0006761A"/>
    <w:rsid w:val="00072FDA"/>
    <w:rsid w:val="000741CA"/>
    <w:rsid w:val="00076DF1"/>
    <w:rsid w:val="00077A7B"/>
    <w:rsid w:val="00083CD6"/>
    <w:rsid w:val="00087168"/>
    <w:rsid w:val="00093488"/>
    <w:rsid w:val="00096DFA"/>
    <w:rsid w:val="000A5CD1"/>
    <w:rsid w:val="000A661E"/>
    <w:rsid w:val="000B4483"/>
    <w:rsid w:val="000B51C9"/>
    <w:rsid w:val="000B6BF3"/>
    <w:rsid w:val="000C0D7B"/>
    <w:rsid w:val="000C203D"/>
    <w:rsid w:val="000C38D6"/>
    <w:rsid w:val="000C435D"/>
    <w:rsid w:val="000C7BB7"/>
    <w:rsid w:val="000D06AB"/>
    <w:rsid w:val="000D5F5D"/>
    <w:rsid w:val="000E10EC"/>
    <w:rsid w:val="000E50FB"/>
    <w:rsid w:val="000E54BC"/>
    <w:rsid w:val="000E583D"/>
    <w:rsid w:val="000E74E2"/>
    <w:rsid w:val="000F20C2"/>
    <w:rsid w:val="000F2D53"/>
    <w:rsid w:val="000F46F4"/>
    <w:rsid w:val="000F6847"/>
    <w:rsid w:val="0011083D"/>
    <w:rsid w:val="00111393"/>
    <w:rsid w:val="00114676"/>
    <w:rsid w:val="00114C43"/>
    <w:rsid w:val="00115E8F"/>
    <w:rsid w:val="00120630"/>
    <w:rsid w:val="00120C05"/>
    <w:rsid w:val="00121CC6"/>
    <w:rsid w:val="00124455"/>
    <w:rsid w:val="00126064"/>
    <w:rsid w:val="00127AA4"/>
    <w:rsid w:val="0013287E"/>
    <w:rsid w:val="00153330"/>
    <w:rsid w:val="00156294"/>
    <w:rsid w:val="001566D6"/>
    <w:rsid w:val="00163117"/>
    <w:rsid w:val="00166B75"/>
    <w:rsid w:val="001823FF"/>
    <w:rsid w:val="0018268B"/>
    <w:rsid w:val="001860A3"/>
    <w:rsid w:val="0018737C"/>
    <w:rsid w:val="00190562"/>
    <w:rsid w:val="001909C7"/>
    <w:rsid w:val="0019492A"/>
    <w:rsid w:val="00195E94"/>
    <w:rsid w:val="001A1EE9"/>
    <w:rsid w:val="001A3ACF"/>
    <w:rsid w:val="001B1E47"/>
    <w:rsid w:val="001C5283"/>
    <w:rsid w:val="001C5CE0"/>
    <w:rsid w:val="001C6C53"/>
    <w:rsid w:val="001D1180"/>
    <w:rsid w:val="001D6C38"/>
    <w:rsid w:val="001E022D"/>
    <w:rsid w:val="001E07C3"/>
    <w:rsid w:val="001E1152"/>
    <w:rsid w:val="001E19B5"/>
    <w:rsid w:val="001E1B4A"/>
    <w:rsid w:val="001E1E6D"/>
    <w:rsid w:val="001E2EA6"/>
    <w:rsid w:val="001E4826"/>
    <w:rsid w:val="001E7921"/>
    <w:rsid w:val="001F29F8"/>
    <w:rsid w:val="001F3166"/>
    <w:rsid w:val="001F3F9C"/>
    <w:rsid w:val="001F55FB"/>
    <w:rsid w:val="001F6780"/>
    <w:rsid w:val="001F6B2A"/>
    <w:rsid w:val="00211D01"/>
    <w:rsid w:val="002145D7"/>
    <w:rsid w:val="00216EDA"/>
    <w:rsid w:val="002179A5"/>
    <w:rsid w:val="002240AC"/>
    <w:rsid w:val="00226E4A"/>
    <w:rsid w:val="00226E4C"/>
    <w:rsid w:val="002304AF"/>
    <w:rsid w:val="00233174"/>
    <w:rsid w:val="002343D5"/>
    <w:rsid w:val="00235CAC"/>
    <w:rsid w:val="00241401"/>
    <w:rsid w:val="00243311"/>
    <w:rsid w:val="00244C7D"/>
    <w:rsid w:val="002450DD"/>
    <w:rsid w:val="0024638D"/>
    <w:rsid w:val="0024656A"/>
    <w:rsid w:val="0024791D"/>
    <w:rsid w:val="0025112A"/>
    <w:rsid w:val="00253712"/>
    <w:rsid w:val="0025570B"/>
    <w:rsid w:val="0025665B"/>
    <w:rsid w:val="00266955"/>
    <w:rsid w:val="0027012D"/>
    <w:rsid w:val="002733A4"/>
    <w:rsid w:val="00276B19"/>
    <w:rsid w:val="00285F53"/>
    <w:rsid w:val="00286BE1"/>
    <w:rsid w:val="00297AFF"/>
    <w:rsid w:val="002A0D8D"/>
    <w:rsid w:val="002B174C"/>
    <w:rsid w:val="002C0872"/>
    <w:rsid w:val="002C0D87"/>
    <w:rsid w:val="002D0F26"/>
    <w:rsid w:val="002D2F6E"/>
    <w:rsid w:val="002D6AB7"/>
    <w:rsid w:val="002D7682"/>
    <w:rsid w:val="002E0451"/>
    <w:rsid w:val="002E1C45"/>
    <w:rsid w:val="002E751C"/>
    <w:rsid w:val="002F00BF"/>
    <w:rsid w:val="002F0283"/>
    <w:rsid w:val="002F339A"/>
    <w:rsid w:val="002F3516"/>
    <w:rsid w:val="002F4CBE"/>
    <w:rsid w:val="002F6F8D"/>
    <w:rsid w:val="00301BF1"/>
    <w:rsid w:val="003073AB"/>
    <w:rsid w:val="00312ECA"/>
    <w:rsid w:val="00316030"/>
    <w:rsid w:val="0032133E"/>
    <w:rsid w:val="00325C1F"/>
    <w:rsid w:val="00325DCF"/>
    <w:rsid w:val="00333C0D"/>
    <w:rsid w:val="003458E1"/>
    <w:rsid w:val="00352066"/>
    <w:rsid w:val="00354171"/>
    <w:rsid w:val="00354F6E"/>
    <w:rsid w:val="003601DB"/>
    <w:rsid w:val="00360960"/>
    <w:rsid w:val="00363B95"/>
    <w:rsid w:val="00370F86"/>
    <w:rsid w:val="00371404"/>
    <w:rsid w:val="00373846"/>
    <w:rsid w:val="003777B6"/>
    <w:rsid w:val="003804FD"/>
    <w:rsid w:val="003806C9"/>
    <w:rsid w:val="00380769"/>
    <w:rsid w:val="00386A5F"/>
    <w:rsid w:val="00393A9D"/>
    <w:rsid w:val="003A0865"/>
    <w:rsid w:val="003A61C3"/>
    <w:rsid w:val="003A75C4"/>
    <w:rsid w:val="003B421A"/>
    <w:rsid w:val="003B430D"/>
    <w:rsid w:val="003B44FA"/>
    <w:rsid w:val="003B4DCA"/>
    <w:rsid w:val="003B7C68"/>
    <w:rsid w:val="003B7F26"/>
    <w:rsid w:val="003C1CBD"/>
    <w:rsid w:val="003C2D06"/>
    <w:rsid w:val="003E2F27"/>
    <w:rsid w:val="003E3C66"/>
    <w:rsid w:val="003F0758"/>
    <w:rsid w:val="003F0BFF"/>
    <w:rsid w:val="003F4737"/>
    <w:rsid w:val="004039B3"/>
    <w:rsid w:val="00420D65"/>
    <w:rsid w:val="00420E90"/>
    <w:rsid w:val="004211E9"/>
    <w:rsid w:val="00421E55"/>
    <w:rsid w:val="0043137B"/>
    <w:rsid w:val="004324CA"/>
    <w:rsid w:val="00433599"/>
    <w:rsid w:val="0043649E"/>
    <w:rsid w:val="004420DC"/>
    <w:rsid w:val="0044781E"/>
    <w:rsid w:val="004508B2"/>
    <w:rsid w:val="00454983"/>
    <w:rsid w:val="004607A8"/>
    <w:rsid w:val="00462826"/>
    <w:rsid w:val="00464442"/>
    <w:rsid w:val="00464A1E"/>
    <w:rsid w:val="00466280"/>
    <w:rsid w:val="00473581"/>
    <w:rsid w:val="004747A7"/>
    <w:rsid w:val="0047487F"/>
    <w:rsid w:val="00475594"/>
    <w:rsid w:val="0048216D"/>
    <w:rsid w:val="00483A52"/>
    <w:rsid w:val="004854A4"/>
    <w:rsid w:val="004855C1"/>
    <w:rsid w:val="00487F70"/>
    <w:rsid w:val="00491798"/>
    <w:rsid w:val="00495DEA"/>
    <w:rsid w:val="004963EE"/>
    <w:rsid w:val="004A0707"/>
    <w:rsid w:val="004A12E3"/>
    <w:rsid w:val="004A38E1"/>
    <w:rsid w:val="004A7F27"/>
    <w:rsid w:val="004B28C5"/>
    <w:rsid w:val="004B2D72"/>
    <w:rsid w:val="004C6152"/>
    <w:rsid w:val="004C63A5"/>
    <w:rsid w:val="004C63DB"/>
    <w:rsid w:val="004C7023"/>
    <w:rsid w:val="004D23A1"/>
    <w:rsid w:val="004D5FC6"/>
    <w:rsid w:val="004D6D70"/>
    <w:rsid w:val="004E0D4D"/>
    <w:rsid w:val="004E1F3F"/>
    <w:rsid w:val="004E4C5E"/>
    <w:rsid w:val="004E6375"/>
    <w:rsid w:val="004E7874"/>
    <w:rsid w:val="00500C9F"/>
    <w:rsid w:val="00503605"/>
    <w:rsid w:val="0050555A"/>
    <w:rsid w:val="00510C39"/>
    <w:rsid w:val="005123BE"/>
    <w:rsid w:val="005131B1"/>
    <w:rsid w:val="005138D5"/>
    <w:rsid w:val="00524A62"/>
    <w:rsid w:val="00530A9C"/>
    <w:rsid w:val="00530D10"/>
    <w:rsid w:val="00535FA9"/>
    <w:rsid w:val="00541E62"/>
    <w:rsid w:val="00546102"/>
    <w:rsid w:val="005466C8"/>
    <w:rsid w:val="00547685"/>
    <w:rsid w:val="0055257C"/>
    <w:rsid w:val="00553C70"/>
    <w:rsid w:val="00553D6E"/>
    <w:rsid w:val="00555C2A"/>
    <w:rsid w:val="00556F8F"/>
    <w:rsid w:val="00563674"/>
    <w:rsid w:val="00574449"/>
    <w:rsid w:val="00576CEB"/>
    <w:rsid w:val="00577FED"/>
    <w:rsid w:val="00580049"/>
    <w:rsid w:val="00585479"/>
    <w:rsid w:val="0058625E"/>
    <w:rsid w:val="0059100B"/>
    <w:rsid w:val="0059325B"/>
    <w:rsid w:val="005A498A"/>
    <w:rsid w:val="005B2486"/>
    <w:rsid w:val="005B2630"/>
    <w:rsid w:val="005B3759"/>
    <w:rsid w:val="005C072D"/>
    <w:rsid w:val="005C2194"/>
    <w:rsid w:val="005C3C0E"/>
    <w:rsid w:val="005C41E9"/>
    <w:rsid w:val="005C4A44"/>
    <w:rsid w:val="005C4F40"/>
    <w:rsid w:val="005C5677"/>
    <w:rsid w:val="005C731C"/>
    <w:rsid w:val="005D1029"/>
    <w:rsid w:val="005D175F"/>
    <w:rsid w:val="005D1809"/>
    <w:rsid w:val="005D2CB9"/>
    <w:rsid w:val="005D3605"/>
    <w:rsid w:val="005D489E"/>
    <w:rsid w:val="005E4886"/>
    <w:rsid w:val="005F0B4F"/>
    <w:rsid w:val="005F13A1"/>
    <w:rsid w:val="005F6E09"/>
    <w:rsid w:val="005F71BB"/>
    <w:rsid w:val="00600AD9"/>
    <w:rsid w:val="00610856"/>
    <w:rsid w:val="00612E61"/>
    <w:rsid w:val="00614810"/>
    <w:rsid w:val="00615D99"/>
    <w:rsid w:val="006162A7"/>
    <w:rsid w:val="0062094B"/>
    <w:rsid w:val="00621E12"/>
    <w:rsid w:val="006244B3"/>
    <w:rsid w:val="00627FE3"/>
    <w:rsid w:val="0063027A"/>
    <w:rsid w:val="00635191"/>
    <w:rsid w:val="00635C96"/>
    <w:rsid w:val="00652AF7"/>
    <w:rsid w:val="00655D33"/>
    <w:rsid w:val="00656322"/>
    <w:rsid w:val="00665908"/>
    <w:rsid w:val="006663C0"/>
    <w:rsid w:val="0066771D"/>
    <w:rsid w:val="00674AB3"/>
    <w:rsid w:val="00675DA3"/>
    <w:rsid w:val="0067774E"/>
    <w:rsid w:val="00680E44"/>
    <w:rsid w:val="00681636"/>
    <w:rsid w:val="0068259C"/>
    <w:rsid w:val="006871E8"/>
    <w:rsid w:val="00692989"/>
    <w:rsid w:val="0069326A"/>
    <w:rsid w:val="00694532"/>
    <w:rsid w:val="00695E48"/>
    <w:rsid w:val="006A1D09"/>
    <w:rsid w:val="006A5D45"/>
    <w:rsid w:val="006A75CC"/>
    <w:rsid w:val="006B5109"/>
    <w:rsid w:val="006C2F85"/>
    <w:rsid w:val="006C4084"/>
    <w:rsid w:val="006C6D76"/>
    <w:rsid w:val="006C75FF"/>
    <w:rsid w:val="006C7BE4"/>
    <w:rsid w:val="006D2071"/>
    <w:rsid w:val="006D40F7"/>
    <w:rsid w:val="006E54A5"/>
    <w:rsid w:val="006F457A"/>
    <w:rsid w:val="006F7AF5"/>
    <w:rsid w:val="007060FC"/>
    <w:rsid w:val="00710AB2"/>
    <w:rsid w:val="007154C5"/>
    <w:rsid w:val="00717AE8"/>
    <w:rsid w:val="00722592"/>
    <w:rsid w:val="00722FD1"/>
    <w:rsid w:val="00724DE5"/>
    <w:rsid w:val="00727E8C"/>
    <w:rsid w:val="007353F1"/>
    <w:rsid w:val="00735FC9"/>
    <w:rsid w:val="00736B81"/>
    <w:rsid w:val="00737A27"/>
    <w:rsid w:val="0075362B"/>
    <w:rsid w:val="0075752A"/>
    <w:rsid w:val="00762935"/>
    <w:rsid w:val="0076493A"/>
    <w:rsid w:val="007664CC"/>
    <w:rsid w:val="00772914"/>
    <w:rsid w:val="00774350"/>
    <w:rsid w:val="0077596C"/>
    <w:rsid w:val="007762C7"/>
    <w:rsid w:val="007800B4"/>
    <w:rsid w:val="00782DF1"/>
    <w:rsid w:val="00783145"/>
    <w:rsid w:val="00783F05"/>
    <w:rsid w:val="00787913"/>
    <w:rsid w:val="007932C3"/>
    <w:rsid w:val="00793E79"/>
    <w:rsid w:val="007971D5"/>
    <w:rsid w:val="007A060E"/>
    <w:rsid w:val="007A3406"/>
    <w:rsid w:val="007A43AD"/>
    <w:rsid w:val="007A4464"/>
    <w:rsid w:val="007A44C1"/>
    <w:rsid w:val="007A6B45"/>
    <w:rsid w:val="007A6FDE"/>
    <w:rsid w:val="007B1692"/>
    <w:rsid w:val="007B1CBB"/>
    <w:rsid w:val="007B2A9D"/>
    <w:rsid w:val="007E3655"/>
    <w:rsid w:val="007E74FF"/>
    <w:rsid w:val="007F164A"/>
    <w:rsid w:val="007F1824"/>
    <w:rsid w:val="0080179E"/>
    <w:rsid w:val="0080214A"/>
    <w:rsid w:val="00807819"/>
    <w:rsid w:val="00807C91"/>
    <w:rsid w:val="00810FA6"/>
    <w:rsid w:val="0081632B"/>
    <w:rsid w:val="00820350"/>
    <w:rsid w:val="00820D41"/>
    <w:rsid w:val="0082242A"/>
    <w:rsid w:val="00824733"/>
    <w:rsid w:val="008255B7"/>
    <w:rsid w:val="008263A6"/>
    <w:rsid w:val="00830E5D"/>
    <w:rsid w:val="008369C9"/>
    <w:rsid w:val="00840231"/>
    <w:rsid w:val="008455DE"/>
    <w:rsid w:val="00851930"/>
    <w:rsid w:val="008566C5"/>
    <w:rsid w:val="0086115D"/>
    <w:rsid w:val="008621C0"/>
    <w:rsid w:val="008625A2"/>
    <w:rsid w:val="008635E9"/>
    <w:rsid w:val="008752C4"/>
    <w:rsid w:val="00882A8B"/>
    <w:rsid w:val="008841BC"/>
    <w:rsid w:val="008850DC"/>
    <w:rsid w:val="0088525A"/>
    <w:rsid w:val="00891274"/>
    <w:rsid w:val="008913E3"/>
    <w:rsid w:val="0089194E"/>
    <w:rsid w:val="0089555C"/>
    <w:rsid w:val="008968F8"/>
    <w:rsid w:val="008A2344"/>
    <w:rsid w:val="008B4B6D"/>
    <w:rsid w:val="008C0B69"/>
    <w:rsid w:val="008C2FE2"/>
    <w:rsid w:val="008C74FE"/>
    <w:rsid w:val="008D1710"/>
    <w:rsid w:val="008E0724"/>
    <w:rsid w:val="008E3065"/>
    <w:rsid w:val="008E5C3F"/>
    <w:rsid w:val="008E6344"/>
    <w:rsid w:val="008E67AD"/>
    <w:rsid w:val="008E704E"/>
    <w:rsid w:val="008E7B10"/>
    <w:rsid w:val="008F0668"/>
    <w:rsid w:val="008F38D6"/>
    <w:rsid w:val="008F499F"/>
    <w:rsid w:val="008F5F07"/>
    <w:rsid w:val="008F7B74"/>
    <w:rsid w:val="009000B4"/>
    <w:rsid w:val="009001EB"/>
    <w:rsid w:val="00910B91"/>
    <w:rsid w:val="00910D77"/>
    <w:rsid w:val="009132A9"/>
    <w:rsid w:val="00916E8C"/>
    <w:rsid w:val="009218CE"/>
    <w:rsid w:val="00925DDA"/>
    <w:rsid w:val="00927191"/>
    <w:rsid w:val="009279BB"/>
    <w:rsid w:val="0093206D"/>
    <w:rsid w:val="00934D21"/>
    <w:rsid w:val="00943968"/>
    <w:rsid w:val="00943AAC"/>
    <w:rsid w:val="00952A86"/>
    <w:rsid w:val="009546A4"/>
    <w:rsid w:val="0096056A"/>
    <w:rsid w:val="009623A9"/>
    <w:rsid w:val="009652C2"/>
    <w:rsid w:val="00971479"/>
    <w:rsid w:val="00971D5D"/>
    <w:rsid w:val="00974A0B"/>
    <w:rsid w:val="00974E4D"/>
    <w:rsid w:val="00975C4A"/>
    <w:rsid w:val="00982488"/>
    <w:rsid w:val="00984102"/>
    <w:rsid w:val="00987083"/>
    <w:rsid w:val="009923B7"/>
    <w:rsid w:val="009930A6"/>
    <w:rsid w:val="00994482"/>
    <w:rsid w:val="00997D66"/>
    <w:rsid w:val="009A1EE2"/>
    <w:rsid w:val="009A34FB"/>
    <w:rsid w:val="009A36D0"/>
    <w:rsid w:val="009A7551"/>
    <w:rsid w:val="009B0ACB"/>
    <w:rsid w:val="009B2493"/>
    <w:rsid w:val="009B6734"/>
    <w:rsid w:val="009B7222"/>
    <w:rsid w:val="009C1507"/>
    <w:rsid w:val="009C31BB"/>
    <w:rsid w:val="009C698F"/>
    <w:rsid w:val="009D1B07"/>
    <w:rsid w:val="009E010C"/>
    <w:rsid w:val="009E05E5"/>
    <w:rsid w:val="009E30D3"/>
    <w:rsid w:val="009E7EFB"/>
    <w:rsid w:val="009F5858"/>
    <w:rsid w:val="00A00F97"/>
    <w:rsid w:val="00A01880"/>
    <w:rsid w:val="00A01EF6"/>
    <w:rsid w:val="00A055D5"/>
    <w:rsid w:val="00A1146B"/>
    <w:rsid w:val="00A155FC"/>
    <w:rsid w:val="00A22659"/>
    <w:rsid w:val="00A2468A"/>
    <w:rsid w:val="00A277EB"/>
    <w:rsid w:val="00A30665"/>
    <w:rsid w:val="00A30C9C"/>
    <w:rsid w:val="00A33E3D"/>
    <w:rsid w:val="00A33EDE"/>
    <w:rsid w:val="00A352AF"/>
    <w:rsid w:val="00A40347"/>
    <w:rsid w:val="00A4074F"/>
    <w:rsid w:val="00A46A43"/>
    <w:rsid w:val="00A56E30"/>
    <w:rsid w:val="00A62608"/>
    <w:rsid w:val="00A6478B"/>
    <w:rsid w:val="00A80B7E"/>
    <w:rsid w:val="00A827B9"/>
    <w:rsid w:val="00A83049"/>
    <w:rsid w:val="00A84E1E"/>
    <w:rsid w:val="00A86F41"/>
    <w:rsid w:val="00AA0A72"/>
    <w:rsid w:val="00AA3CAF"/>
    <w:rsid w:val="00AA4C36"/>
    <w:rsid w:val="00AA5655"/>
    <w:rsid w:val="00AB0651"/>
    <w:rsid w:val="00AB1AC5"/>
    <w:rsid w:val="00AB1DCE"/>
    <w:rsid w:val="00AB28D5"/>
    <w:rsid w:val="00AB5483"/>
    <w:rsid w:val="00AC6D0A"/>
    <w:rsid w:val="00AD755B"/>
    <w:rsid w:val="00AE5BD7"/>
    <w:rsid w:val="00AF2685"/>
    <w:rsid w:val="00AF4279"/>
    <w:rsid w:val="00AF4689"/>
    <w:rsid w:val="00AF5D31"/>
    <w:rsid w:val="00AF6367"/>
    <w:rsid w:val="00B023B6"/>
    <w:rsid w:val="00B100EA"/>
    <w:rsid w:val="00B1099F"/>
    <w:rsid w:val="00B13351"/>
    <w:rsid w:val="00B20704"/>
    <w:rsid w:val="00B23878"/>
    <w:rsid w:val="00B25181"/>
    <w:rsid w:val="00B25426"/>
    <w:rsid w:val="00B26AAB"/>
    <w:rsid w:val="00B30FBE"/>
    <w:rsid w:val="00B32C30"/>
    <w:rsid w:val="00B333D3"/>
    <w:rsid w:val="00B3495A"/>
    <w:rsid w:val="00B35E52"/>
    <w:rsid w:val="00B368DB"/>
    <w:rsid w:val="00B43B0F"/>
    <w:rsid w:val="00B45C7A"/>
    <w:rsid w:val="00B47359"/>
    <w:rsid w:val="00B47B03"/>
    <w:rsid w:val="00B6686C"/>
    <w:rsid w:val="00B73ADC"/>
    <w:rsid w:val="00B73ADD"/>
    <w:rsid w:val="00B73D10"/>
    <w:rsid w:val="00B752A3"/>
    <w:rsid w:val="00B81494"/>
    <w:rsid w:val="00B81932"/>
    <w:rsid w:val="00B93000"/>
    <w:rsid w:val="00B963D3"/>
    <w:rsid w:val="00BA2E9E"/>
    <w:rsid w:val="00BB0BD4"/>
    <w:rsid w:val="00BC0ACD"/>
    <w:rsid w:val="00BC6CBD"/>
    <w:rsid w:val="00BD05FB"/>
    <w:rsid w:val="00BD1A8A"/>
    <w:rsid w:val="00BD20B4"/>
    <w:rsid w:val="00BD2DDE"/>
    <w:rsid w:val="00BE1BB0"/>
    <w:rsid w:val="00BE4EB9"/>
    <w:rsid w:val="00BF2829"/>
    <w:rsid w:val="00BF395D"/>
    <w:rsid w:val="00BF74B4"/>
    <w:rsid w:val="00C00F0D"/>
    <w:rsid w:val="00C0511C"/>
    <w:rsid w:val="00C127FE"/>
    <w:rsid w:val="00C14889"/>
    <w:rsid w:val="00C14BBB"/>
    <w:rsid w:val="00C157EB"/>
    <w:rsid w:val="00C23519"/>
    <w:rsid w:val="00C27308"/>
    <w:rsid w:val="00C34443"/>
    <w:rsid w:val="00C352EE"/>
    <w:rsid w:val="00C35F62"/>
    <w:rsid w:val="00C3752F"/>
    <w:rsid w:val="00C37D62"/>
    <w:rsid w:val="00C43B1D"/>
    <w:rsid w:val="00C45FF4"/>
    <w:rsid w:val="00C52B40"/>
    <w:rsid w:val="00C5340A"/>
    <w:rsid w:val="00C546C3"/>
    <w:rsid w:val="00C55275"/>
    <w:rsid w:val="00C6023F"/>
    <w:rsid w:val="00C61B47"/>
    <w:rsid w:val="00C62395"/>
    <w:rsid w:val="00C65460"/>
    <w:rsid w:val="00C673FA"/>
    <w:rsid w:val="00C737D0"/>
    <w:rsid w:val="00C73E41"/>
    <w:rsid w:val="00C75B4C"/>
    <w:rsid w:val="00C760FA"/>
    <w:rsid w:val="00C774A1"/>
    <w:rsid w:val="00C81AC9"/>
    <w:rsid w:val="00C856A8"/>
    <w:rsid w:val="00C90CF7"/>
    <w:rsid w:val="00C92E77"/>
    <w:rsid w:val="00C964E3"/>
    <w:rsid w:val="00CA3756"/>
    <w:rsid w:val="00CA4A8B"/>
    <w:rsid w:val="00CA4F0F"/>
    <w:rsid w:val="00CA6431"/>
    <w:rsid w:val="00CB0D1B"/>
    <w:rsid w:val="00CB15BB"/>
    <w:rsid w:val="00CB3118"/>
    <w:rsid w:val="00CB5140"/>
    <w:rsid w:val="00CC1F27"/>
    <w:rsid w:val="00CC4C5A"/>
    <w:rsid w:val="00CC6C7C"/>
    <w:rsid w:val="00CC7326"/>
    <w:rsid w:val="00CD4765"/>
    <w:rsid w:val="00CD6C02"/>
    <w:rsid w:val="00CE5FD8"/>
    <w:rsid w:val="00CE683B"/>
    <w:rsid w:val="00CF1674"/>
    <w:rsid w:val="00CF3AFD"/>
    <w:rsid w:val="00CF5C1C"/>
    <w:rsid w:val="00CF74D6"/>
    <w:rsid w:val="00CF7F18"/>
    <w:rsid w:val="00D008A9"/>
    <w:rsid w:val="00D0176B"/>
    <w:rsid w:val="00D0227A"/>
    <w:rsid w:val="00D032FB"/>
    <w:rsid w:val="00D0373A"/>
    <w:rsid w:val="00D05A04"/>
    <w:rsid w:val="00D117CB"/>
    <w:rsid w:val="00D15BC6"/>
    <w:rsid w:val="00D15D45"/>
    <w:rsid w:val="00D2109C"/>
    <w:rsid w:val="00D2342C"/>
    <w:rsid w:val="00D27AA7"/>
    <w:rsid w:val="00D353A4"/>
    <w:rsid w:val="00D40B29"/>
    <w:rsid w:val="00D42182"/>
    <w:rsid w:val="00D42D7D"/>
    <w:rsid w:val="00D46669"/>
    <w:rsid w:val="00D5496C"/>
    <w:rsid w:val="00D57FF0"/>
    <w:rsid w:val="00D632D6"/>
    <w:rsid w:val="00D666E4"/>
    <w:rsid w:val="00D7025A"/>
    <w:rsid w:val="00D72A46"/>
    <w:rsid w:val="00D83D2D"/>
    <w:rsid w:val="00D84A2F"/>
    <w:rsid w:val="00D865A4"/>
    <w:rsid w:val="00D86953"/>
    <w:rsid w:val="00D86A30"/>
    <w:rsid w:val="00D86D65"/>
    <w:rsid w:val="00D91561"/>
    <w:rsid w:val="00D932CC"/>
    <w:rsid w:val="00D934AE"/>
    <w:rsid w:val="00DA287E"/>
    <w:rsid w:val="00DB27C7"/>
    <w:rsid w:val="00DB57EF"/>
    <w:rsid w:val="00DB58C0"/>
    <w:rsid w:val="00DB7DC2"/>
    <w:rsid w:val="00DC540F"/>
    <w:rsid w:val="00DD00B1"/>
    <w:rsid w:val="00DD1569"/>
    <w:rsid w:val="00DD39E2"/>
    <w:rsid w:val="00DD435D"/>
    <w:rsid w:val="00DF0354"/>
    <w:rsid w:val="00DF0FA2"/>
    <w:rsid w:val="00DF5162"/>
    <w:rsid w:val="00DF57E3"/>
    <w:rsid w:val="00E02E1E"/>
    <w:rsid w:val="00E0431A"/>
    <w:rsid w:val="00E05A13"/>
    <w:rsid w:val="00E1237A"/>
    <w:rsid w:val="00E13E32"/>
    <w:rsid w:val="00E1459A"/>
    <w:rsid w:val="00E149AE"/>
    <w:rsid w:val="00E3019A"/>
    <w:rsid w:val="00E31BE2"/>
    <w:rsid w:val="00E361AE"/>
    <w:rsid w:val="00E363D2"/>
    <w:rsid w:val="00E36F43"/>
    <w:rsid w:val="00E377E1"/>
    <w:rsid w:val="00E4266A"/>
    <w:rsid w:val="00E5058E"/>
    <w:rsid w:val="00E54AEC"/>
    <w:rsid w:val="00E554CD"/>
    <w:rsid w:val="00E57CC0"/>
    <w:rsid w:val="00E64AA5"/>
    <w:rsid w:val="00E65CEC"/>
    <w:rsid w:val="00E67ED5"/>
    <w:rsid w:val="00E70DD8"/>
    <w:rsid w:val="00E765F1"/>
    <w:rsid w:val="00E8113A"/>
    <w:rsid w:val="00E8337D"/>
    <w:rsid w:val="00E85DD4"/>
    <w:rsid w:val="00E86010"/>
    <w:rsid w:val="00E87BCD"/>
    <w:rsid w:val="00E925DD"/>
    <w:rsid w:val="00E92F41"/>
    <w:rsid w:val="00E93EAA"/>
    <w:rsid w:val="00E955C8"/>
    <w:rsid w:val="00EA03CE"/>
    <w:rsid w:val="00EA407E"/>
    <w:rsid w:val="00EB142B"/>
    <w:rsid w:val="00EB482D"/>
    <w:rsid w:val="00EB55FC"/>
    <w:rsid w:val="00EB5DC9"/>
    <w:rsid w:val="00EB749D"/>
    <w:rsid w:val="00EB752B"/>
    <w:rsid w:val="00EC4A8F"/>
    <w:rsid w:val="00EC5AB8"/>
    <w:rsid w:val="00EC7A1D"/>
    <w:rsid w:val="00ED0B4B"/>
    <w:rsid w:val="00ED4C89"/>
    <w:rsid w:val="00ED4FC1"/>
    <w:rsid w:val="00ED7C92"/>
    <w:rsid w:val="00EE348B"/>
    <w:rsid w:val="00EE3740"/>
    <w:rsid w:val="00EE4F4A"/>
    <w:rsid w:val="00EE589B"/>
    <w:rsid w:val="00EE5E19"/>
    <w:rsid w:val="00EE70AA"/>
    <w:rsid w:val="00EE7791"/>
    <w:rsid w:val="00EF2053"/>
    <w:rsid w:val="00EF417F"/>
    <w:rsid w:val="00EF63B0"/>
    <w:rsid w:val="00F0059F"/>
    <w:rsid w:val="00F00BD1"/>
    <w:rsid w:val="00F04C3E"/>
    <w:rsid w:val="00F06907"/>
    <w:rsid w:val="00F07CD2"/>
    <w:rsid w:val="00F12157"/>
    <w:rsid w:val="00F122FF"/>
    <w:rsid w:val="00F17818"/>
    <w:rsid w:val="00F2558E"/>
    <w:rsid w:val="00F25F5A"/>
    <w:rsid w:val="00F33944"/>
    <w:rsid w:val="00F356A4"/>
    <w:rsid w:val="00F35936"/>
    <w:rsid w:val="00F4135F"/>
    <w:rsid w:val="00F4267D"/>
    <w:rsid w:val="00F43AC9"/>
    <w:rsid w:val="00F44F67"/>
    <w:rsid w:val="00F45F71"/>
    <w:rsid w:val="00F6506E"/>
    <w:rsid w:val="00F650AA"/>
    <w:rsid w:val="00F65A7C"/>
    <w:rsid w:val="00F6627D"/>
    <w:rsid w:val="00F70877"/>
    <w:rsid w:val="00F70CD8"/>
    <w:rsid w:val="00F739A3"/>
    <w:rsid w:val="00F76A71"/>
    <w:rsid w:val="00F777E4"/>
    <w:rsid w:val="00F778E0"/>
    <w:rsid w:val="00F8211D"/>
    <w:rsid w:val="00F92113"/>
    <w:rsid w:val="00FA0B9F"/>
    <w:rsid w:val="00FA299E"/>
    <w:rsid w:val="00FA355C"/>
    <w:rsid w:val="00FA762A"/>
    <w:rsid w:val="00FB0BBF"/>
    <w:rsid w:val="00FB21E1"/>
    <w:rsid w:val="00FB492A"/>
    <w:rsid w:val="00FB63DE"/>
    <w:rsid w:val="00FC553F"/>
    <w:rsid w:val="00FD03C3"/>
    <w:rsid w:val="00FD0CC2"/>
    <w:rsid w:val="00FD26B8"/>
    <w:rsid w:val="00FD5B75"/>
    <w:rsid w:val="00FE0735"/>
    <w:rsid w:val="00FE3AFB"/>
    <w:rsid w:val="00FF16BF"/>
    <w:rsid w:val="00FF18F8"/>
    <w:rsid w:val="00FF2955"/>
    <w:rsid w:val="00FF29A6"/>
    <w:rsid w:val="00FF301C"/>
    <w:rsid w:val="00FF3061"/>
    <w:rsid w:val="00FF3B4A"/>
    <w:rsid w:val="00FF7CDE"/>
    <w:rsid w:val="010A415F"/>
    <w:rsid w:val="016D684C"/>
    <w:rsid w:val="016F722C"/>
    <w:rsid w:val="02445829"/>
    <w:rsid w:val="025C23C5"/>
    <w:rsid w:val="032F04D8"/>
    <w:rsid w:val="03340011"/>
    <w:rsid w:val="03426289"/>
    <w:rsid w:val="04233E5E"/>
    <w:rsid w:val="046B3FFB"/>
    <w:rsid w:val="050F75A8"/>
    <w:rsid w:val="05B861B5"/>
    <w:rsid w:val="05E00D76"/>
    <w:rsid w:val="07C41F96"/>
    <w:rsid w:val="07D02A4F"/>
    <w:rsid w:val="07DB5D06"/>
    <w:rsid w:val="07E831B8"/>
    <w:rsid w:val="07F4676A"/>
    <w:rsid w:val="08060BF3"/>
    <w:rsid w:val="08766AB6"/>
    <w:rsid w:val="099C10AD"/>
    <w:rsid w:val="09F558AC"/>
    <w:rsid w:val="0A0B08BD"/>
    <w:rsid w:val="0A820A57"/>
    <w:rsid w:val="0B2A3794"/>
    <w:rsid w:val="0BA67125"/>
    <w:rsid w:val="0C7E4F34"/>
    <w:rsid w:val="0CB31B50"/>
    <w:rsid w:val="0CBD7B72"/>
    <w:rsid w:val="0D5B011C"/>
    <w:rsid w:val="0E0A6519"/>
    <w:rsid w:val="0E3C70E9"/>
    <w:rsid w:val="0E63472B"/>
    <w:rsid w:val="0E793042"/>
    <w:rsid w:val="0EF645A0"/>
    <w:rsid w:val="0EF97BEC"/>
    <w:rsid w:val="103150F4"/>
    <w:rsid w:val="10604CCC"/>
    <w:rsid w:val="11BA5A7D"/>
    <w:rsid w:val="11D84070"/>
    <w:rsid w:val="123D08A7"/>
    <w:rsid w:val="134C25BE"/>
    <w:rsid w:val="136E05A4"/>
    <w:rsid w:val="137D3F07"/>
    <w:rsid w:val="138A438B"/>
    <w:rsid w:val="13AD0558"/>
    <w:rsid w:val="14661922"/>
    <w:rsid w:val="14704A04"/>
    <w:rsid w:val="14867164"/>
    <w:rsid w:val="152A4FA3"/>
    <w:rsid w:val="15690B83"/>
    <w:rsid w:val="15791CE7"/>
    <w:rsid w:val="15A05265"/>
    <w:rsid w:val="15AE7982"/>
    <w:rsid w:val="16826B40"/>
    <w:rsid w:val="169A213B"/>
    <w:rsid w:val="17481524"/>
    <w:rsid w:val="179B67F5"/>
    <w:rsid w:val="17B235CC"/>
    <w:rsid w:val="180F3A92"/>
    <w:rsid w:val="18290E61"/>
    <w:rsid w:val="184E64FC"/>
    <w:rsid w:val="18F80084"/>
    <w:rsid w:val="19275B75"/>
    <w:rsid w:val="19484AE1"/>
    <w:rsid w:val="19766A3F"/>
    <w:rsid w:val="1AAE01D9"/>
    <w:rsid w:val="1AB1581F"/>
    <w:rsid w:val="1B1B1638"/>
    <w:rsid w:val="1B7C4865"/>
    <w:rsid w:val="1BCC6553"/>
    <w:rsid w:val="1BD71647"/>
    <w:rsid w:val="1BFA43C6"/>
    <w:rsid w:val="1C4B0A48"/>
    <w:rsid w:val="1D316D86"/>
    <w:rsid w:val="1E885DAC"/>
    <w:rsid w:val="1F300F42"/>
    <w:rsid w:val="1F7F19DD"/>
    <w:rsid w:val="1F9F11CC"/>
    <w:rsid w:val="1FD8270B"/>
    <w:rsid w:val="20AF1AAB"/>
    <w:rsid w:val="20E143D3"/>
    <w:rsid w:val="21065345"/>
    <w:rsid w:val="214F78B8"/>
    <w:rsid w:val="21CB617C"/>
    <w:rsid w:val="22324E9E"/>
    <w:rsid w:val="22F32459"/>
    <w:rsid w:val="23403BE4"/>
    <w:rsid w:val="241E5CD3"/>
    <w:rsid w:val="24395D2D"/>
    <w:rsid w:val="25241137"/>
    <w:rsid w:val="253A70CD"/>
    <w:rsid w:val="255E6496"/>
    <w:rsid w:val="25823653"/>
    <w:rsid w:val="25FC0296"/>
    <w:rsid w:val="26667E05"/>
    <w:rsid w:val="26B50445"/>
    <w:rsid w:val="272E796A"/>
    <w:rsid w:val="277F2B7D"/>
    <w:rsid w:val="27860F28"/>
    <w:rsid w:val="27C1163A"/>
    <w:rsid w:val="28784CAD"/>
    <w:rsid w:val="28991DE0"/>
    <w:rsid w:val="2A1E53C6"/>
    <w:rsid w:val="2A345078"/>
    <w:rsid w:val="2A3B0AC0"/>
    <w:rsid w:val="2B5D1574"/>
    <w:rsid w:val="2BBF5FEE"/>
    <w:rsid w:val="2C273B03"/>
    <w:rsid w:val="2C7B63A5"/>
    <w:rsid w:val="2C9E4657"/>
    <w:rsid w:val="2CC75E98"/>
    <w:rsid w:val="2CCB70AE"/>
    <w:rsid w:val="2D9F0CA2"/>
    <w:rsid w:val="2E270B3B"/>
    <w:rsid w:val="2E7D398D"/>
    <w:rsid w:val="2E894796"/>
    <w:rsid w:val="2ED626BA"/>
    <w:rsid w:val="2EE446C7"/>
    <w:rsid w:val="2F2D38E6"/>
    <w:rsid w:val="30082325"/>
    <w:rsid w:val="301F15AD"/>
    <w:rsid w:val="309F6D53"/>
    <w:rsid w:val="31EF3552"/>
    <w:rsid w:val="3289799F"/>
    <w:rsid w:val="32AF1198"/>
    <w:rsid w:val="32D56B6C"/>
    <w:rsid w:val="32DE2385"/>
    <w:rsid w:val="32EA3680"/>
    <w:rsid w:val="3324139B"/>
    <w:rsid w:val="33E5584A"/>
    <w:rsid w:val="33FE7BE3"/>
    <w:rsid w:val="346351A8"/>
    <w:rsid w:val="36A82159"/>
    <w:rsid w:val="36D6049A"/>
    <w:rsid w:val="37D3030D"/>
    <w:rsid w:val="37DE3C9F"/>
    <w:rsid w:val="37E059EB"/>
    <w:rsid w:val="380A6AF4"/>
    <w:rsid w:val="38347D97"/>
    <w:rsid w:val="38685317"/>
    <w:rsid w:val="3919634F"/>
    <w:rsid w:val="39962932"/>
    <w:rsid w:val="39D40214"/>
    <w:rsid w:val="3AD21A8F"/>
    <w:rsid w:val="3AFB16B6"/>
    <w:rsid w:val="3B375A93"/>
    <w:rsid w:val="3CB30E2D"/>
    <w:rsid w:val="3D3A01F7"/>
    <w:rsid w:val="3DF83C5D"/>
    <w:rsid w:val="3EA43B1B"/>
    <w:rsid w:val="3EE13883"/>
    <w:rsid w:val="3EFB4912"/>
    <w:rsid w:val="3F563A5E"/>
    <w:rsid w:val="3FBF2EFD"/>
    <w:rsid w:val="406C5B5D"/>
    <w:rsid w:val="40FE48CD"/>
    <w:rsid w:val="414243BA"/>
    <w:rsid w:val="4161521E"/>
    <w:rsid w:val="42793D4F"/>
    <w:rsid w:val="43F87E97"/>
    <w:rsid w:val="447A589C"/>
    <w:rsid w:val="45C2657D"/>
    <w:rsid w:val="45D917F9"/>
    <w:rsid w:val="45EA1A61"/>
    <w:rsid w:val="46004BDB"/>
    <w:rsid w:val="4735370C"/>
    <w:rsid w:val="47BC11DC"/>
    <w:rsid w:val="480E03E9"/>
    <w:rsid w:val="48FB268E"/>
    <w:rsid w:val="49170DBF"/>
    <w:rsid w:val="49514094"/>
    <w:rsid w:val="4962127E"/>
    <w:rsid w:val="49A76CE9"/>
    <w:rsid w:val="4A2D4613"/>
    <w:rsid w:val="4AC776EC"/>
    <w:rsid w:val="4B2A6DDF"/>
    <w:rsid w:val="4B54214B"/>
    <w:rsid w:val="4E8C409C"/>
    <w:rsid w:val="4EA2737D"/>
    <w:rsid w:val="4EE378BB"/>
    <w:rsid w:val="4EFD11CF"/>
    <w:rsid w:val="4F657289"/>
    <w:rsid w:val="4F6611C3"/>
    <w:rsid w:val="503A5C6F"/>
    <w:rsid w:val="503D2BB8"/>
    <w:rsid w:val="50D863C5"/>
    <w:rsid w:val="50E32847"/>
    <w:rsid w:val="50F25547"/>
    <w:rsid w:val="517F7502"/>
    <w:rsid w:val="53366572"/>
    <w:rsid w:val="53FE6332"/>
    <w:rsid w:val="547D3176"/>
    <w:rsid w:val="54DA379B"/>
    <w:rsid w:val="55326F81"/>
    <w:rsid w:val="5608053E"/>
    <w:rsid w:val="566D4560"/>
    <w:rsid w:val="57E82A2C"/>
    <w:rsid w:val="58617E48"/>
    <w:rsid w:val="588B3FAB"/>
    <w:rsid w:val="597162CA"/>
    <w:rsid w:val="59CC20D3"/>
    <w:rsid w:val="5A052A56"/>
    <w:rsid w:val="5A754334"/>
    <w:rsid w:val="5AAA701C"/>
    <w:rsid w:val="5B2103D9"/>
    <w:rsid w:val="5B2B4B8F"/>
    <w:rsid w:val="5B5A7986"/>
    <w:rsid w:val="5C3F734F"/>
    <w:rsid w:val="5D113B87"/>
    <w:rsid w:val="5E3361D9"/>
    <w:rsid w:val="5EE96040"/>
    <w:rsid w:val="5FEE1136"/>
    <w:rsid w:val="60834E7F"/>
    <w:rsid w:val="60D96D46"/>
    <w:rsid w:val="61D615AF"/>
    <w:rsid w:val="624B577F"/>
    <w:rsid w:val="624E3157"/>
    <w:rsid w:val="62E612F9"/>
    <w:rsid w:val="62E827D9"/>
    <w:rsid w:val="638135AD"/>
    <w:rsid w:val="63A70B3A"/>
    <w:rsid w:val="643A0701"/>
    <w:rsid w:val="64CF11A4"/>
    <w:rsid w:val="65211FAE"/>
    <w:rsid w:val="65384252"/>
    <w:rsid w:val="654D354B"/>
    <w:rsid w:val="664638CF"/>
    <w:rsid w:val="668861E9"/>
    <w:rsid w:val="66A31649"/>
    <w:rsid w:val="66AE7994"/>
    <w:rsid w:val="66EF1503"/>
    <w:rsid w:val="67372356"/>
    <w:rsid w:val="67567E31"/>
    <w:rsid w:val="67A229D2"/>
    <w:rsid w:val="67A80573"/>
    <w:rsid w:val="67AC2BC3"/>
    <w:rsid w:val="67CF349B"/>
    <w:rsid w:val="67E00525"/>
    <w:rsid w:val="688F372C"/>
    <w:rsid w:val="68982B14"/>
    <w:rsid w:val="6908207B"/>
    <w:rsid w:val="69135054"/>
    <w:rsid w:val="692D51FF"/>
    <w:rsid w:val="6B433523"/>
    <w:rsid w:val="6B9B71D6"/>
    <w:rsid w:val="6D0F14F7"/>
    <w:rsid w:val="6D23070C"/>
    <w:rsid w:val="6D3701C9"/>
    <w:rsid w:val="6DA80901"/>
    <w:rsid w:val="6E3069B1"/>
    <w:rsid w:val="6E793126"/>
    <w:rsid w:val="6E857138"/>
    <w:rsid w:val="6E871B01"/>
    <w:rsid w:val="702A66BA"/>
    <w:rsid w:val="70C072F5"/>
    <w:rsid w:val="714938E7"/>
    <w:rsid w:val="715C0189"/>
    <w:rsid w:val="72141A90"/>
    <w:rsid w:val="72605587"/>
    <w:rsid w:val="72BA7EF8"/>
    <w:rsid w:val="732F3CA3"/>
    <w:rsid w:val="73C81465"/>
    <w:rsid w:val="73F30C44"/>
    <w:rsid w:val="744A6B5B"/>
    <w:rsid w:val="755B3954"/>
    <w:rsid w:val="761013C1"/>
    <w:rsid w:val="77127017"/>
    <w:rsid w:val="77302AA5"/>
    <w:rsid w:val="776F5052"/>
    <w:rsid w:val="77D77541"/>
    <w:rsid w:val="78FC5849"/>
    <w:rsid w:val="79641B7C"/>
    <w:rsid w:val="79747404"/>
    <w:rsid w:val="7A1C6182"/>
    <w:rsid w:val="7A2D788D"/>
    <w:rsid w:val="7A40283C"/>
    <w:rsid w:val="7A9A04CE"/>
    <w:rsid w:val="7AA60BF5"/>
    <w:rsid w:val="7AF05DD7"/>
    <w:rsid w:val="7C815657"/>
    <w:rsid w:val="7C8178CB"/>
    <w:rsid w:val="7CB9210C"/>
    <w:rsid w:val="7ED625A7"/>
    <w:rsid w:val="7F2B1146"/>
    <w:rsid w:val="7F736048"/>
    <w:rsid w:val="7FDD0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9"/>
    <w:qFormat/>
    <w:uiPriority w:val="0"/>
    <w:rPr>
      <w:rFonts w:ascii="宋体" w:hAnsi="Courier New" w:cs="Courier New"/>
      <w:szCs w:val="21"/>
    </w:rPr>
  </w:style>
  <w:style w:type="paragraph" w:styleId="5">
    <w:name w:val="Date"/>
    <w:basedOn w:val="1"/>
    <w:next w:val="1"/>
    <w:link w:val="27"/>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kern w:val="0"/>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Strong"/>
    <w:qFormat/>
    <w:uiPriority w:val="22"/>
    <w:rPr>
      <w:rFonts w:ascii="Calibri" w:hAnsi="Calibri" w:eastAsia="宋体" w:cs="Times New Roman"/>
      <w:b/>
      <w:bCs/>
    </w:rPr>
  </w:style>
  <w:style w:type="character" w:styleId="11">
    <w:name w:val="page number"/>
    <w:basedOn w:val="9"/>
    <w:qFormat/>
    <w:uiPriority w:val="0"/>
    <w:rPr>
      <w:rFonts w:ascii="Calibri" w:hAnsi="Calibri" w:eastAsia="宋体" w:cs="Times New Roman"/>
    </w:rPr>
  </w:style>
  <w:style w:type="character" w:styleId="12">
    <w:name w:val="Hyperlink"/>
    <w:basedOn w:val="9"/>
    <w:qFormat/>
    <w:uiPriority w:val="0"/>
    <w:rPr>
      <w:color w:val="0563C1" w:themeColor="hyperlink"/>
      <w:u w:val="single"/>
      <w14:textFill>
        <w14:solidFill>
          <w14:schemeClr w14:val="hlink"/>
        </w14:solidFill>
      </w14:textFill>
    </w:rPr>
  </w:style>
  <w:style w:type="table" w:styleId="14">
    <w:name w:val="Table Grid"/>
    <w:basedOn w:val="1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列出段落 Char Char Char Char"/>
    <w:link w:val="16"/>
    <w:qFormat/>
    <w:locked/>
    <w:uiPriority w:val="0"/>
    <w:rPr>
      <w:rFonts w:ascii="宋体" w:hAnsi="Calibri"/>
      <w:sz w:val="24"/>
      <w:szCs w:val="21"/>
    </w:rPr>
  </w:style>
  <w:style w:type="paragraph" w:customStyle="1" w:styleId="16">
    <w:name w:val="列出段落1"/>
    <w:basedOn w:val="1"/>
    <w:next w:val="3"/>
    <w:link w:val="15"/>
    <w:qFormat/>
    <w:uiPriority w:val="0"/>
    <w:pPr>
      <w:adjustRightInd w:val="0"/>
      <w:snapToGrid w:val="0"/>
      <w:spacing w:line="300" w:lineRule="auto"/>
      <w:ind w:firstLine="420" w:firstLineChars="200"/>
    </w:pPr>
    <w:rPr>
      <w:rFonts w:ascii="宋体" w:eastAsiaTheme="minorEastAsia" w:cstheme="minorBidi"/>
      <w:kern w:val="0"/>
      <w:sz w:val="24"/>
      <w:szCs w:val="21"/>
    </w:rPr>
  </w:style>
  <w:style w:type="character" w:customStyle="1" w:styleId="17">
    <w:name w:val="页脚 Char"/>
    <w:link w:val="7"/>
    <w:qFormat/>
    <w:uiPriority w:val="99"/>
    <w:rPr>
      <w:rFonts w:ascii="Calibri" w:hAnsi="Calibri" w:eastAsia="宋体" w:cs="Times New Roman"/>
      <w:sz w:val="18"/>
      <w:szCs w:val="18"/>
    </w:rPr>
  </w:style>
  <w:style w:type="character" w:customStyle="1" w:styleId="18">
    <w:name w:val="页眉 Char"/>
    <w:link w:val="8"/>
    <w:qFormat/>
    <w:uiPriority w:val="99"/>
    <w:rPr>
      <w:rFonts w:ascii="Calibri" w:hAnsi="Calibri" w:eastAsia="宋体" w:cs="Times New Roman"/>
      <w:sz w:val="18"/>
      <w:szCs w:val="18"/>
    </w:rPr>
  </w:style>
  <w:style w:type="character" w:customStyle="1" w:styleId="19">
    <w:name w:val="纯文本 Char"/>
    <w:basedOn w:val="9"/>
    <w:link w:val="4"/>
    <w:qFormat/>
    <w:uiPriority w:val="0"/>
    <w:rPr>
      <w:rFonts w:ascii="宋体" w:hAnsi="Courier New" w:eastAsia="宋体" w:cs="Courier New"/>
      <w:kern w:val="2"/>
      <w:sz w:val="21"/>
      <w:szCs w:val="21"/>
    </w:rPr>
  </w:style>
  <w:style w:type="character" w:customStyle="1" w:styleId="20">
    <w:name w:val="apple-converted-space"/>
    <w:qFormat/>
    <w:uiPriority w:val="0"/>
    <w:rPr>
      <w:rFonts w:ascii="Calibri" w:hAnsi="Calibri" w:eastAsia="宋体" w:cs="Times New Roman"/>
    </w:rPr>
  </w:style>
  <w:style w:type="character" w:customStyle="1" w:styleId="21">
    <w:name w:val="font71"/>
    <w:basedOn w:val="9"/>
    <w:qFormat/>
    <w:uiPriority w:val="0"/>
    <w:rPr>
      <w:rFonts w:hint="eastAsia" w:ascii="方正小标宋简体" w:hAnsi="方正小标宋简体" w:eastAsia="方正小标宋简体" w:cs="方正小标宋简体"/>
      <w:b/>
      <w:color w:val="000000"/>
      <w:sz w:val="40"/>
      <w:szCs w:val="40"/>
      <w:u w:val="none"/>
    </w:rPr>
  </w:style>
  <w:style w:type="paragraph" w:customStyle="1" w:styleId="22">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3">
    <w:name w:val="批注框文本 Char"/>
    <w:link w:val="6"/>
    <w:semiHidden/>
    <w:qFormat/>
    <w:uiPriority w:val="99"/>
    <w:rPr>
      <w:rFonts w:ascii="Calibri" w:hAnsi="Calibri" w:eastAsia="宋体" w:cs="Times New Roman"/>
      <w:kern w:val="2"/>
      <w:sz w:val="18"/>
      <w:szCs w:val="18"/>
    </w:rPr>
  </w:style>
  <w:style w:type="character" w:customStyle="1" w:styleId="24">
    <w:name w:val="标题 3 Char"/>
    <w:basedOn w:val="9"/>
    <w:link w:val="3"/>
    <w:semiHidden/>
    <w:qFormat/>
    <w:uiPriority w:val="0"/>
    <w:rPr>
      <w:rFonts w:ascii="Calibri" w:hAnsi="Calibri" w:eastAsia="宋体" w:cs="Times New Roman"/>
      <w:b/>
      <w:bCs/>
      <w:kern w:val="2"/>
      <w:sz w:val="32"/>
      <w:szCs w:val="32"/>
    </w:rPr>
  </w:style>
  <w:style w:type="character" w:customStyle="1" w:styleId="25">
    <w:name w:val="标题 1 Char"/>
    <w:basedOn w:val="9"/>
    <w:link w:val="2"/>
    <w:qFormat/>
    <w:uiPriority w:val="0"/>
    <w:rPr>
      <w:rFonts w:ascii="Calibri" w:hAnsi="Calibri" w:eastAsia="宋体" w:cs="Times New Roman"/>
      <w:b/>
      <w:bCs/>
      <w:kern w:val="44"/>
      <w:sz w:val="44"/>
      <w:szCs w:val="44"/>
    </w:rPr>
  </w:style>
  <w:style w:type="paragraph" w:styleId="26">
    <w:name w:val="List Paragraph"/>
    <w:basedOn w:val="1"/>
    <w:qFormat/>
    <w:uiPriority w:val="99"/>
    <w:pPr>
      <w:ind w:firstLine="420" w:firstLineChars="200"/>
    </w:pPr>
  </w:style>
  <w:style w:type="character" w:customStyle="1" w:styleId="27">
    <w:name w:val="日期 Char"/>
    <w:basedOn w:val="9"/>
    <w:link w:val="5"/>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Office_10.8.2.6870_F1E327BC-269C-435d-A152-05C5408002CA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2025-08-04T15:21:00Z</dcterms:created>
  <dc:creator>Administrator</dc:creator>
  <cp:lastModifiedBy>Administrator</cp:lastModifiedBy>
  <dcterms:modified xsi:type="dcterms:W3CDTF">2025-08-04T07:31:40Z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