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rPr>
          <w:color w:val="auto"/>
        </w:rPr>
      </w:pPr>
    </w:p>
    <w:p>
      <w:pPr>
        <w:pStyle w:val="3"/>
        <w:jc w:val="center"/>
        <w:rPr>
          <w:rFonts w:hAnsi="宋体" w:eastAsia="方正仿宋_GBK"/>
          <w:color w:val="auto"/>
          <w:sz w:val="32"/>
        </w:rPr>
      </w:pPr>
    </w:p>
    <w:p>
      <w:pPr>
        <w:pStyle w:val="3"/>
        <w:jc w:val="center"/>
        <w:rPr>
          <w:rFonts w:hAnsi="宋体" w:eastAsia="方正仿宋_GBK"/>
          <w:color w:val="auto"/>
          <w:sz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outlineLvl w:val="9"/>
        <w:rPr>
          <w:rFonts w:hAnsi="宋体" w:eastAsia="方正仿宋_GBK"/>
          <w:color w:val="auto"/>
          <w:sz w:val="32"/>
        </w:rPr>
      </w:pPr>
    </w:p>
    <w:p>
      <w:pPr>
        <w:pStyle w:val="3"/>
        <w:jc w:val="center"/>
        <w:rPr>
          <w:rFonts w:hAnsi="宋体" w:eastAsia="方正仿宋_GBK"/>
          <w:color w:val="auto"/>
          <w:sz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right="2243" w:rightChars="1068"/>
        <w:jc w:val="distribute"/>
        <w:textAlignment w:val="auto"/>
        <w:rPr>
          <w:rFonts w:hAnsi="宋体" w:eastAsia="方正仿宋_GBK"/>
          <w:color w:val="FF0000"/>
          <w:sz w:val="70"/>
          <w:szCs w:val="72"/>
        </w:rPr>
      </w:pPr>
      <w:r>
        <w:rPr>
          <w:rFonts w:hint="eastAsia" w:hAnsi="宋体" w:eastAsia="方正小标宋简体"/>
          <w:color w:val="FF0000"/>
          <w:sz w:val="70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4291330</wp:posOffset>
                </wp:positionH>
                <wp:positionV relativeFrom="paragraph">
                  <wp:posOffset>234950</wp:posOffset>
                </wp:positionV>
                <wp:extent cx="1371600" cy="1187450"/>
                <wp:effectExtent l="5080" t="4445" r="10160" b="1206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400" w:lineRule="exact"/>
                              <w:ind w:firstLine="0" w:firstLineChars="0"/>
                              <w:rPr>
                                <w:rFonts w:ascii="方正小标宋简体" w:eastAsia="方正小标宋简体"/>
                                <w:color w:val="FF0000"/>
                                <w:sz w:val="82"/>
                                <w:szCs w:val="8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w w:val="90"/>
                                <w:sz w:val="90"/>
                                <w:szCs w:val="90"/>
                              </w:rPr>
                              <w:t>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7.9pt;margin-top:18.5pt;height:93.5pt;width:108pt;z-index:251660288;mso-width-relative:page;mso-height-relative:page;" fillcolor="#FFFFFF" filled="t" stroked="t" coordsize="21600,21600" o:gfxdata="UEsDBAoAAAAAAIdO4kAAAAAAAAAAAAAAAAAEAAAAZHJzL1BLAwQUAAAACACHTuJASmOmT9gAAAAK&#10;AQAADwAAAGRycy9kb3ducmV2LnhtbE2PwU7DMBBE70j8g7VIXBC1Y6AtIU6FKhDnFi7c3HibRMTr&#10;JHablq9nOcFxdkazb4rVyXfiiGNsAxnIZgoEUhVcS7WBj/fX2yWImCw52wVCA2eMsCovLwqbuzDR&#10;Bo/bVAsuoZhbA01KfS5lrBr0Ns5Cj8TePozeJpZjLd1oJy73ndRKzaW3LfGHxva4brD62h68gTC9&#10;nH3AQembz2//tn4eNns9GHN9laknEAlP6S8Mv/iMDiUz7cKBXBSdgfnigdGTgbsFb+LA8jHjw86A&#10;1vcKZFnI/xPKH1BLAwQUAAAACACHTuJA2pHDAfQBAAD3AwAADgAAAGRycy9lMm9Eb2MueG1srVNL&#10;jhMxEN0jcQfLe9IfyMwQpTMShLBBgDRwAMefbkv+yeVJdy4AN2DFhj3nyjkoO5kwA5sRohfusqv8&#10;/OpV1fJ6sobsZATtXUebWU2JdNwL7fqOfv60eXZFCSTmBDPeyY7uJdDr1dMnyzEsZOsHb4SMBEEc&#10;LMbQ0SGlsKgq4IO0DGY+SIdO5aNlCbexr0RkI6JbU7V1fVGNPooQPZcAeLo+Oumq4CslefqgFMhE&#10;TEeRWyprLOs2r9VqyRZ9ZGHQ/ESD/QMLy7TDR89Qa5YYuY36LyirefTgVZpxbyuvlOay5IDZNPUf&#10;2dwMLMiSC4oD4SwT/D9Y/n73MRItOtpS4pjFEh2+fT18/3n48YW0WZ4xwAKjbgLGpemVn7DMd+eA&#10;hznrSUWb/5gPQT8KvT+LK6dEeL70/LK5qNHF0dc0V5cv5kX+6vf1ECG9ld6SbHQ0YvWKqGz3DhJS&#10;wdC7kPwaeKPFRhtTNrHfvjaR7BhWelO+zBKvPAgzjowdfTlv50iEYcMpwxKaNqAE4Pry3oMb8Djg&#10;TGzNYDgSKAjH5rI6yVjabJBMvHGCpH1AmR3OA81krBSUGInjk60SmZg2j4nE7IzL2cvS6ieVcsWO&#10;lclWmrYTgmZz68Ueq3gbou4HFLjUscoe7K6i1WkScvve36N9f15X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KY6ZP2AAAAAoBAAAPAAAAAAAAAAEAIAAAACIAAABkcnMvZG93bnJldi54bWxQSwEC&#10;FAAUAAAACACHTuJA2pHDAfQBAAD3AwAADgAAAAAAAAABACAAAAAnAQAAZHJzL2Uyb0RvYy54bWxQ&#10;SwUGAAAAAAYABgBZAQAAjQ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400" w:lineRule="exact"/>
                        <w:ind w:firstLine="0" w:firstLineChars="0"/>
                        <w:rPr>
                          <w:rFonts w:ascii="方正小标宋简体" w:eastAsia="方正小标宋简体"/>
                          <w:color w:val="FF0000"/>
                          <w:sz w:val="82"/>
                          <w:szCs w:val="8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w w:val="90"/>
                          <w:sz w:val="90"/>
                          <w:szCs w:val="90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hAnsi="宋体" w:eastAsia="方正小标宋简体"/>
          <w:color w:val="FF0000"/>
          <w:sz w:val="70"/>
          <w:szCs w:val="72"/>
        </w:rPr>
        <w:t>福建省科学技术协会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right="2243" w:rightChars="1068" w:firstLine="0" w:firstLineChars="0"/>
        <w:jc w:val="distribute"/>
        <w:textAlignment w:val="auto"/>
        <w:rPr>
          <w:rFonts w:ascii="宋体" w:hAnsi="宋体" w:eastAsia="方正小标宋简体"/>
          <w:color w:val="FF0000"/>
          <w:sz w:val="70"/>
          <w:szCs w:val="72"/>
        </w:rPr>
      </w:pPr>
      <w:r>
        <w:rPr>
          <w:rFonts w:hint="eastAsia" w:ascii="宋体" w:hAnsi="宋体" w:eastAsia="方正小标宋简体"/>
          <w:color w:val="FF0000"/>
          <w:sz w:val="70"/>
          <w:szCs w:val="72"/>
        </w:rPr>
        <w:t>福建省教育</w:t>
      </w:r>
      <w:r>
        <w:rPr>
          <w:rFonts w:ascii="宋体" w:hAnsi="宋体" w:eastAsia="方正小标宋简体"/>
          <w:color w:val="FF0000"/>
          <w:sz w:val="70"/>
          <w:szCs w:val="72"/>
        </w:rPr>
        <w:t>厅</w:t>
      </w:r>
    </w:p>
    <w:p>
      <w:pPr>
        <w:ind w:firstLine="640"/>
        <w:rPr>
          <w:color w:val="auto"/>
        </w:rPr>
      </w:pPr>
    </w:p>
    <w:tbl>
      <w:tblPr>
        <w:tblStyle w:val="8"/>
        <w:tblW w:w="89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944" w:type="dxa"/>
            <w:tcBorders>
              <w:top w:val="single" w:color="FFFFFF" w:sz="12" w:space="0"/>
              <w:left w:val="single" w:color="FFFFFF" w:sz="12" w:space="0"/>
              <w:bottom w:val="single" w:color="FF0000" w:sz="12" w:space="0"/>
              <w:right w:val="single" w:color="FFFFFF" w:sz="12" w:space="0"/>
            </w:tcBorders>
            <w:vAlign w:val="center"/>
          </w:tcPr>
          <w:p>
            <w:pPr>
              <w:widowControl/>
              <w:spacing w:line="700" w:lineRule="exact"/>
              <w:ind w:left="0" w:leftChars="0" w:firstLine="0" w:firstLineChars="0"/>
              <w:jc w:val="center"/>
              <w:rPr>
                <w:rFonts w:hAnsi="宋体" w:eastAsia="方正仿宋_GBK"/>
                <w:color w:val="auto"/>
              </w:rPr>
            </w:pPr>
            <w:bookmarkStart w:id="3" w:name="_GoBack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4"/>
                <w:szCs w:val="34"/>
              </w:rPr>
              <w:t>闽科协普</w:t>
            </w:r>
            <w:r>
              <w:rPr>
                <w:rFonts w:hint="eastAsia" w:ascii="宋体" w:hAnsi="宋体" w:eastAsia="宋体" w:cs="宋体"/>
                <w:color w:val="auto"/>
                <w:sz w:val="34"/>
                <w:szCs w:val="34"/>
              </w:rPr>
              <w:t>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34"/>
                <w:szCs w:val="34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34"/>
                <w:szCs w:val="3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34"/>
                <w:szCs w:val="34"/>
              </w:rPr>
              <w:t>〕</w:t>
            </w:r>
            <w:r>
              <w:rPr>
                <w:rFonts w:hint="eastAsia" w:ascii="宋体" w:hAnsi="宋体" w:cs="宋体"/>
                <w:color w:val="auto"/>
                <w:sz w:val="34"/>
                <w:szCs w:val="34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4"/>
                <w:szCs w:val="34"/>
              </w:rPr>
              <w:t>号</w:t>
            </w:r>
            <w:bookmarkEnd w:id="3"/>
          </w:p>
        </w:tc>
      </w:tr>
    </w:tbl>
    <w:p>
      <w:pPr>
        <w:pStyle w:val="3"/>
        <w:jc w:val="center"/>
        <w:rPr>
          <w:rFonts w:hAnsi="宋体" w:eastAsia="方正仿宋_GBK"/>
          <w:color w:val="auto"/>
          <w:sz w:val="32"/>
        </w:rPr>
      </w:pPr>
    </w:p>
    <w:p>
      <w:pPr>
        <w:spacing w:line="420" w:lineRule="exact"/>
        <w:rPr>
          <w:rFonts w:ascii="方正仿宋_GBK" w:eastAsia="方正仿宋_GBK"/>
          <w:color w:val="auto"/>
          <w:sz w:val="32"/>
          <w:highlight w:val="none"/>
        </w:rPr>
      </w:pPr>
    </w:p>
    <w:p>
      <w:pPr>
        <w:spacing w:line="7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</w:rPr>
        <w:t>福建省科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学技术</w:t>
      </w:r>
      <w:r>
        <w:rPr>
          <w:rFonts w:hint="eastAsia" w:ascii="方正小标宋简体" w:eastAsia="方正小标宋简体"/>
          <w:sz w:val="44"/>
          <w:szCs w:val="44"/>
        </w:rPr>
        <w:t>协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会</w:t>
      </w:r>
      <w:r>
        <w:rPr>
          <w:rFonts w:hint="eastAsia" w:ascii="方正小标宋简体" w:eastAsia="方正小标宋简体"/>
          <w:sz w:val="44"/>
          <w:szCs w:val="44"/>
        </w:rPr>
        <w:t>　福建省教育厅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关于</w:t>
      </w:r>
    </w:p>
    <w:p>
      <w:pPr>
        <w:spacing w:line="7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开展202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年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val="en-US" w:eastAsia="zh-CN"/>
        </w:rPr>
        <w:t>福建省中学生英才计划</w:t>
      </w:r>
    </w:p>
    <w:p>
      <w:pPr>
        <w:spacing w:line="700" w:lineRule="exact"/>
        <w:jc w:val="center"/>
        <w:rPr>
          <w:rFonts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高校科学营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val="en-US" w:eastAsia="zh-CN"/>
        </w:rPr>
        <w:t>活动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的通知</w:t>
      </w:r>
    </w:p>
    <w:p>
      <w:pPr>
        <w:widowControl/>
        <w:spacing w:line="600" w:lineRule="exact"/>
        <w:jc w:val="center"/>
        <w:rPr>
          <w:rFonts w:ascii="方正仿宋_GBK" w:eastAsia="方正仿宋_GBK"/>
          <w:color w:val="auto"/>
          <w:sz w:val="32"/>
          <w:highlight w:val="none"/>
        </w:rPr>
      </w:pPr>
    </w:p>
    <w:p>
      <w:pPr>
        <w:spacing w:line="560" w:lineRule="exact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各设区市科协、教育局，平潭综合实验区科协、社会事业局，厦门大学：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为全面贯彻落实党的二十大和二十届二中、三中全会精神，深入贯彻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全国科技大会、全国教育大会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精神，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认真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落实《教育强国建设规划纲要（2024-2035年）》和《中华人民共和国科学技术普及法》有关要求，促进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中学教育和大学教育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相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衔接，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省科协、省教育厅将共同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开展202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中学生英才计划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高校科学营活动。现将有关事项通知如下：</w:t>
      </w:r>
    </w:p>
    <w:p>
      <w:pPr>
        <w:numPr>
          <w:ilvl w:val="0"/>
          <w:numId w:val="1"/>
        </w:numPr>
        <w:spacing w:line="560" w:lineRule="exact"/>
        <w:ind w:left="645"/>
        <w:rPr>
          <w:rFonts w:hint="eastAsia" w:asci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  <w:lang w:val="en-US" w:eastAsia="zh-CN"/>
        </w:rPr>
        <w:t>活动时间</w:t>
      </w:r>
    </w:p>
    <w:p>
      <w:pPr>
        <w:numPr>
          <w:ilvl w:val="0"/>
          <w:numId w:val="0"/>
        </w:numPr>
        <w:spacing w:line="560" w:lineRule="exact"/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7月13日至19日</w:t>
      </w:r>
    </w:p>
    <w:p>
      <w:pPr>
        <w:numPr>
          <w:ilvl w:val="0"/>
          <w:numId w:val="1"/>
        </w:numPr>
        <w:spacing w:line="560" w:lineRule="exact"/>
        <w:ind w:left="645" w:leftChars="0" w:firstLine="0" w:firstLineChars="0"/>
        <w:rPr>
          <w:rFonts w:hint="default" w:ascii="黑体" w:eastAsia="黑体"/>
          <w:color w:val="auto"/>
          <w:sz w:val="32"/>
          <w:szCs w:val="32"/>
          <w:highlight w:val="none"/>
          <w:lang w:val="en-US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</w:rPr>
        <w:t>活动</w:t>
      </w:r>
      <w:r>
        <w:rPr>
          <w:rFonts w:hint="eastAsia" w:ascii="黑体" w:eastAsia="黑体"/>
          <w:color w:val="auto"/>
          <w:sz w:val="32"/>
          <w:szCs w:val="32"/>
          <w:highlight w:val="none"/>
          <w:lang w:val="en-US" w:eastAsia="zh-CN"/>
        </w:rPr>
        <w:t>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  <w:t>厦门大学思明校区、翔安校区</w:t>
      </w:r>
    </w:p>
    <w:p>
      <w:pPr>
        <w:numPr>
          <w:ilvl w:val="0"/>
          <w:numId w:val="1"/>
        </w:numPr>
        <w:spacing w:line="560" w:lineRule="exact"/>
        <w:ind w:left="645" w:leftChars="0" w:firstLine="0" w:firstLineChars="0"/>
        <w:rPr>
          <w:rFonts w:hint="eastAsia" w:asci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</w:rPr>
        <w:t>活动主题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科技梦·青春梦·中国梦</w:t>
      </w:r>
    </w:p>
    <w:p>
      <w:pPr>
        <w:spacing w:line="560" w:lineRule="exact"/>
        <w:ind w:left="645"/>
        <w:rPr>
          <w:rFonts w:hint="eastAsia" w:ascii="黑体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eastAsia="黑体"/>
          <w:color w:val="auto"/>
          <w:sz w:val="32"/>
          <w:szCs w:val="32"/>
          <w:highlight w:val="none"/>
        </w:rPr>
        <w:t>、组织</w:t>
      </w:r>
      <w:r>
        <w:rPr>
          <w:rFonts w:hint="eastAsia" w:ascii="黑体" w:eastAsia="黑体"/>
          <w:color w:val="auto"/>
          <w:sz w:val="32"/>
          <w:szCs w:val="32"/>
          <w:highlight w:val="none"/>
          <w:lang w:eastAsia="zh-CN"/>
        </w:rPr>
        <w:t>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全国青少年高校科学营活动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中学生英才计划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由中国科协、教育部共同主办。根据中国科协和教育部有关要求，省科协、省教育厅共同负责我省有关活动的组织管理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省级管理办公室设在省青少年科技活动中心。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我省今年将结合中学生英才计划开展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青少年高校科学营活动。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福建省中学生英才计划管理办法另行通知。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本次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活动由厦门大学具体承办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充分体现承办高校的学科特点、专业特色和人文传统，把思想价值引领贯穿始终，通过组织与名家大师对话、参加科技实践、参观重点实验室等科研场所、参观校史馆等文博设施、体验校园生活和校园文化、与优秀学长交流互动等活动，帮助营员了解大学生活，探寻前沿科技知识，品味大师科学人生，培养科学精神，感悟科学家精神，树立科技报国志向。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、数量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与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要求</w:t>
      </w:r>
    </w:p>
    <w:p>
      <w:pPr>
        <w:spacing w:line="600" w:lineRule="exact"/>
        <w:ind w:firstLine="643" w:firstLineChars="200"/>
        <w:rPr>
          <w:rFonts w:ascii="楷体" w:hAnsi="楷体" w:eastAsia="楷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/>
          <w:b/>
          <w:bCs/>
          <w:color w:val="auto"/>
          <w:sz w:val="32"/>
          <w:szCs w:val="32"/>
          <w:highlight w:val="none"/>
        </w:rPr>
        <w:t>（一）选拔数量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outlineLvl w:val="9"/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全省共选拔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146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名优秀中学生和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名带队老师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（详见附件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）。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对象包含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遴选产生的2025年福建省“中学生英才计划”学生106名（详见附件2），第40届福建省青少年科技创新大赛科协主席奖获奖选手5名，以及有关设区市推荐的35名营员（相关设区市各一所中学推荐5名学生）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spacing w:line="560" w:lineRule="exact"/>
        <w:ind w:firstLine="643" w:firstLineChars="200"/>
        <w:rPr>
          <w:rFonts w:ascii="楷体" w:hAnsi="楷体" w:eastAsia="楷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/>
          <w:b/>
          <w:bCs/>
          <w:color w:val="auto"/>
          <w:sz w:val="32"/>
          <w:szCs w:val="32"/>
          <w:highlight w:val="none"/>
        </w:rPr>
        <w:t>（二）营员</w:t>
      </w:r>
      <w:r>
        <w:rPr>
          <w:rFonts w:hint="eastAsia" w:ascii="楷体" w:hAnsi="楷体" w:eastAsia="楷体"/>
          <w:b/>
          <w:bCs/>
          <w:color w:val="auto"/>
          <w:sz w:val="32"/>
          <w:szCs w:val="32"/>
          <w:highlight w:val="none"/>
          <w:lang w:val="en-US" w:eastAsia="zh-CN"/>
        </w:rPr>
        <w:t>选拔</w:t>
      </w:r>
      <w:r>
        <w:rPr>
          <w:rFonts w:hint="eastAsia" w:ascii="楷体" w:hAnsi="楷体" w:eastAsia="楷体"/>
          <w:b/>
          <w:bCs/>
          <w:color w:val="auto"/>
          <w:sz w:val="32"/>
          <w:szCs w:val="32"/>
          <w:highlight w:val="none"/>
        </w:rPr>
        <w:t>要求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1.今年5月就读普通高中一、二年级在校生，且往年未参加过高校科学营活动的学生。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2.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中学生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英才计划学员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可自主选择参加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数学、物理、化学、生物学科成绩优异，品学兼优、热爱科学、有一定科技特长。获高中五项学科奥赛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青少年科技创新大赛、机器人竞赛等科技类竞赛活动省级三等奖及以上者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优先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3.身心健康，无严重急、慢性疾病及传染性疾病，适宜参加有一定强度的户外活动。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4.具备较好的沟通交流能力，组织纪律性强，服从管理。适应能力强，有较强的生活自理能力。</w:t>
      </w:r>
    </w:p>
    <w:p>
      <w:pPr>
        <w:spacing w:line="600" w:lineRule="exact"/>
        <w:ind w:firstLine="643" w:firstLineChars="200"/>
        <w:rPr>
          <w:rFonts w:ascii="楷体" w:hAnsi="楷体" w:eastAsia="楷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/>
          <w:b/>
          <w:bCs/>
          <w:color w:val="auto"/>
          <w:sz w:val="32"/>
          <w:szCs w:val="32"/>
          <w:highlight w:val="none"/>
        </w:rPr>
        <w:t>（三）带队教师条件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1.45周岁以下，身体健康，无严重急、慢性疾病及传染性疾病，适宜组织和参加有一定强度的户外活动。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2.责任心强、沟通协调能力突出、具有丰富学生管理经验。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3.优先选拔科学类课程教师和科技辅导员,以及指导学生参加过科技类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学科类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竞赛活动者。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4.全程参与活动，与营员同吃同住，不得擅自脱离学生单独行动，严格遵守活动安排，不带家属同行。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5.负责学生报名审核、往返途中和活动期间的安全管理，协助学生做好本队营员活动期间心得体会和影像资料的收集，并于活动结束后一周内将营员心得体会、音视频资料发送至省级管理办公室电子邮箱fjqszx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@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163.com。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6</w:t>
      </w: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.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积极配合省级管理办公室完成营员追踪工作，协助高校收集营员调查评估问卷表。</w:t>
      </w:r>
    </w:p>
    <w:p>
      <w:pPr>
        <w:spacing w:line="600" w:lineRule="exact"/>
        <w:ind w:firstLine="640" w:firstLineChars="200"/>
        <w:rPr>
          <w:rFonts w:asci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宋体" w:eastAsia="黑体"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eastAsia" w:ascii="黑体" w:hAnsi="宋体" w:eastAsia="黑体"/>
          <w:color w:val="auto"/>
          <w:sz w:val="32"/>
          <w:szCs w:val="32"/>
          <w:highlight w:val="none"/>
        </w:rPr>
        <w:t>、</w:t>
      </w:r>
      <w:r>
        <w:rPr>
          <w:rFonts w:hint="eastAsia" w:ascii="黑体" w:eastAsia="黑体"/>
          <w:color w:val="auto"/>
          <w:sz w:val="32"/>
          <w:szCs w:val="32"/>
          <w:highlight w:val="none"/>
        </w:rPr>
        <w:t>选</w:t>
      </w:r>
      <w:r>
        <w:rPr>
          <w:rFonts w:hint="eastAsia" w:ascii="黑体" w:eastAsia="黑体"/>
          <w:color w:val="auto"/>
          <w:sz w:val="32"/>
          <w:szCs w:val="32"/>
          <w:highlight w:val="none"/>
          <w:lang w:eastAsia="zh-CN"/>
        </w:rPr>
        <w:t>拔</w:t>
      </w:r>
      <w:r>
        <w:rPr>
          <w:rFonts w:hint="eastAsia" w:ascii="黑体" w:eastAsia="黑体"/>
          <w:color w:val="auto"/>
          <w:sz w:val="32"/>
          <w:szCs w:val="32"/>
          <w:highlight w:val="none"/>
        </w:rPr>
        <w:t>程序</w:t>
      </w:r>
    </w:p>
    <w:p>
      <w:pPr>
        <w:spacing w:line="600" w:lineRule="exact"/>
        <w:ind w:firstLine="643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/>
          <w:b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楷体" w:hAnsi="楷体" w:eastAsia="楷体"/>
          <w:b/>
          <w:bCs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eastAsia" w:ascii="楷体" w:hAnsi="楷体" w:eastAsia="楷体"/>
          <w:b/>
          <w:bCs/>
          <w:color w:val="auto"/>
          <w:sz w:val="32"/>
          <w:szCs w:val="32"/>
          <w:highlight w:val="none"/>
        </w:rPr>
        <w:t>）工作要求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1.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有关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设区市科协、教育局要做好统筹安排，轮流选拔青少年科技教育工作突出的高中参加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中学生英才计划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高校科学营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2024年已参营的中学不予推荐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，按照省级下达的名额合理组建营队，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营员选拔要落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实国家乡村振兴战略和《“十四五”县域普通高中发展提升行动计划》要求，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其他营员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向县域普通高中倾斜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2.参营师生名单由设区市科协、教育局会商确定，省级管理办公室不接受个人直接报名。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3.</w:t>
      </w:r>
      <w:r>
        <w:rPr>
          <w:rFonts w:hint="eastAsia" w:ascii="宋体" w:hAnsi="宋体" w:eastAsia="仿宋_GB2312"/>
          <w:color w:val="auto"/>
          <w:sz w:val="32"/>
          <w:szCs w:val="32"/>
          <w:highlight w:val="none"/>
        </w:rPr>
        <w:t>为强化营员的安全管理，营员以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宋体" w:hAnsi="宋体" w:eastAsia="仿宋_GB2312"/>
          <w:color w:val="auto"/>
          <w:sz w:val="32"/>
          <w:szCs w:val="32"/>
          <w:highlight w:val="none"/>
        </w:rPr>
        <w:t>名为一个单位组成科学营营队</w:t>
      </w:r>
      <w:r>
        <w:rPr>
          <w:rFonts w:hint="eastAsia" w:ascii="宋体" w:hAnsi="宋体" w:eastAsia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带队教师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设区市科协按照分配名额采取公开招募的方式选拔，由省级管理办公室统一安排营队。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4.活动坚持“公开、公平、公正”原则，参营师生名单需由所在学校进行校内公示。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5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各设区市科协、教育局须对参与中学派出营员和带队老师严格把关。省级管理办公室将对营员和带队老师在营期间表现、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问卷调查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及该中学配合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完成营员毕业去向追踪等情况进行综合评估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评估结果将作为评选优秀营员、优秀带队教师依据，并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将影响所在设区市今后参加高校科学营的名额。</w:t>
      </w:r>
    </w:p>
    <w:p>
      <w:pPr>
        <w:spacing w:line="600" w:lineRule="exact"/>
        <w:ind w:firstLine="643" w:firstLineChars="200"/>
        <w:rPr>
          <w:rFonts w:ascii="楷体" w:hAnsi="楷体" w:eastAsia="楷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/>
          <w:b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楷体" w:hAnsi="楷体" w:eastAsia="楷体"/>
          <w:b/>
          <w:bCs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楷体" w:hAnsi="楷体" w:eastAsia="楷体"/>
          <w:b/>
          <w:bCs/>
          <w:color w:val="auto"/>
          <w:sz w:val="32"/>
          <w:szCs w:val="32"/>
          <w:highlight w:val="none"/>
        </w:rPr>
        <w:t>）申报方式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请各设区市科协于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日前将加盖公章的名单汇总表（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详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见附件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电子版（含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word、PDF）发送指定邮箱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</w:t>
      </w:r>
    </w:p>
    <w:p>
      <w:pPr>
        <w:spacing w:line="600" w:lineRule="exact"/>
        <w:ind w:firstLine="640" w:firstLineChars="200"/>
        <w:rPr>
          <w:rFonts w:asci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  <w:lang w:eastAsia="zh-CN"/>
        </w:rPr>
        <w:t>七</w:t>
      </w:r>
      <w:r>
        <w:rPr>
          <w:rFonts w:hint="eastAsia" w:ascii="黑体" w:eastAsia="黑体"/>
          <w:color w:val="auto"/>
          <w:sz w:val="32"/>
          <w:szCs w:val="32"/>
          <w:highlight w:val="none"/>
        </w:rPr>
        <w:t>、有关要求</w:t>
      </w:r>
    </w:p>
    <w:p>
      <w:pPr>
        <w:spacing w:line="600" w:lineRule="exact"/>
        <w:ind w:firstLine="643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/>
          <w:b/>
          <w:bCs/>
          <w:color w:val="auto"/>
          <w:sz w:val="32"/>
          <w:szCs w:val="32"/>
          <w:highlight w:val="none"/>
        </w:rPr>
        <w:t>（一）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设区市科协、教育局配合省级管理办公室做好组织实施、安全管理及宣传工作。活动前，要部署本地区各个营队做好活动组织纪律和安全教育，教育营员认真遵守承办高校管理规定；带队教师应按省级管理办公室要求，积极做好本营队营员的注意事项和安全教育工作。</w:t>
      </w:r>
    </w:p>
    <w:p>
      <w:pPr>
        <w:spacing w:line="600" w:lineRule="exact"/>
        <w:ind w:firstLine="643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/>
          <w:b/>
          <w:bCs/>
          <w:color w:val="auto"/>
          <w:sz w:val="32"/>
          <w:szCs w:val="32"/>
          <w:highlight w:val="none"/>
        </w:rPr>
        <w:t>（二）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厦门大学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负责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科学制定活动组织实施方案（含安全管理预案），落实专人负责安全工作。合理安排科学营各项活动，加强活动过程安全管理，确保活动顺利进行。</w:t>
      </w:r>
    </w:p>
    <w:p>
      <w:pPr>
        <w:spacing w:line="600" w:lineRule="exact"/>
        <w:ind w:firstLine="643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/>
          <w:b/>
          <w:bCs/>
          <w:color w:val="auto"/>
          <w:sz w:val="32"/>
          <w:szCs w:val="32"/>
          <w:highlight w:val="none"/>
        </w:rPr>
        <w:t>（三）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科学营活动不向各地、学校和师生收取任何费用。营员及带队教师食宿及参营费用由主办单位负责。</w:t>
      </w:r>
    </w:p>
    <w:p>
      <w:pPr>
        <w:spacing w:line="600" w:lineRule="exact"/>
        <w:ind w:firstLine="643" w:firstLineChars="200"/>
        <w:rPr>
          <w:rFonts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/>
          <w:b/>
          <w:bCs/>
          <w:color w:val="auto"/>
          <w:sz w:val="32"/>
          <w:szCs w:val="32"/>
          <w:highlight w:val="none"/>
        </w:rPr>
        <w:t>（四）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营员往返交通费用自理，鼓励有条件的市、县和学校安排专项经费予以全部承担或相应补助。带队教师往返交通费用由派出学校承担。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rPr>
          <w:rFonts w:eastAsia="仿宋_GB2312"/>
          <w:color w:val="auto"/>
          <w:sz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联系人：温林凤、郑振华，电话：0591-833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36470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（传真），地址:福州市古田路89号6楼省青少年科技活动中心，邮箱：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fjqszx</w:t>
      </w: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@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163.com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</w:t>
      </w:r>
    </w:p>
    <w:p>
      <w:pPr>
        <w:spacing w:line="600" w:lineRule="exact"/>
        <w:jc w:val="left"/>
        <w:rPr>
          <w:rFonts w:ascii="仿宋_GB2312" w:eastAsia="仿宋_GB2312"/>
          <w:color w:val="auto"/>
          <w:sz w:val="32"/>
          <w:szCs w:val="32"/>
          <w:highlight w:val="none"/>
        </w:rPr>
      </w:pPr>
    </w:p>
    <w:p>
      <w:pPr>
        <w:spacing w:line="600" w:lineRule="exact"/>
        <w:ind w:left="1918" w:leftChars="304" w:hanging="1280" w:hangingChars="400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附件：</w:t>
      </w:r>
      <w:bookmarkStart w:id="0" w:name="_Toc322523922"/>
      <w:bookmarkStart w:id="1" w:name="_Toc319868282"/>
      <w:bookmarkStart w:id="2" w:name="_Toc322505944"/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1.</w:t>
      </w:r>
      <w:bookmarkEnd w:id="0"/>
      <w:bookmarkEnd w:id="1"/>
      <w:bookmarkEnd w:id="2"/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2025年福建省中学生英才计划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高校科学营名额分配表</w:t>
      </w:r>
    </w:p>
    <w:p>
      <w:pPr>
        <w:spacing w:line="600" w:lineRule="exact"/>
        <w:ind w:left="1916" w:leftChars="760" w:hanging="320" w:hangingChars="100"/>
        <w:rPr>
          <w:rFonts w:ascii="仿宋_GB2312" w:eastAsia="仿宋_GB2312"/>
          <w:color w:val="auto"/>
          <w:w w:val="98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福建省中学生英才计划入选学生名单</w:t>
      </w:r>
    </w:p>
    <w:p>
      <w:pPr>
        <w:spacing w:line="600" w:lineRule="exact"/>
        <w:ind w:firstLine="1600" w:firstLineChars="500"/>
        <w:rPr>
          <w:rFonts w:ascii="仿宋_GB2312" w:eastAsia="仿宋_GB2312"/>
          <w:color w:val="auto"/>
          <w:w w:val="98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.202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福建省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青少年高校科学营推荐汇总表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</w:p>
    <w:p>
      <w:pPr>
        <w:spacing w:line="600" w:lineRule="exact"/>
        <w:jc w:val="center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福建省科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学技术</w:t>
      </w:r>
      <w:r>
        <w:rPr>
          <w:rFonts w:hint="eastAsia" w:ascii="仿宋_GB2312" w:eastAsia="仿宋_GB2312"/>
          <w:color w:val="auto"/>
          <w:sz w:val="32"/>
          <w:szCs w:val="32"/>
        </w:rPr>
        <w:t>协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会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         福建省教育厅</w:t>
      </w:r>
    </w:p>
    <w:p>
      <w:pPr>
        <w:spacing w:line="600" w:lineRule="exact"/>
        <w:ind w:right="525" w:rightChars="250"/>
        <w:jc w:val="center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20</w:t>
      </w:r>
      <w:r>
        <w:rPr>
          <w:rFonts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color w:val="auto"/>
          <w:sz w:val="32"/>
          <w:szCs w:val="32"/>
          <w:highlight w:val="none"/>
        </w:rPr>
      </w:pPr>
    </w:p>
    <w:tbl>
      <w:tblPr>
        <w:tblStyle w:val="8"/>
        <w:tblpPr w:leftFromText="180" w:rightFromText="180" w:vertAnchor="text" w:horzAnchor="page" w:tblpX="1556" w:tblpY="4351"/>
        <w:tblOverlap w:val="never"/>
        <w:tblW w:w="8890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9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  <w:t>科协办公室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</w:rPr>
              <w:t xml:space="preserve">      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黑体" w:hAnsi="华文中宋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br w:type="page"/>
      </w:r>
      <w:r>
        <w:rPr>
          <w:rFonts w:hint="eastAsia" w:ascii="黑体" w:hAnsi="华文中宋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华文中宋" w:eastAsia="黑体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202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年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val="en-US" w:eastAsia="zh-CN"/>
        </w:rPr>
        <w:t>福建省中学生英才计划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高校科学营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50" w:line="700" w:lineRule="exact"/>
        <w:ind w:right="105" w:rightChars="50"/>
        <w:jc w:val="center"/>
        <w:textAlignment w:val="auto"/>
        <w:rPr>
          <w:rFonts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名额分配表</w:t>
      </w:r>
    </w:p>
    <w:tbl>
      <w:tblPr>
        <w:tblStyle w:val="8"/>
        <w:tblW w:w="76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3"/>
        <w:gridCol w:w="2029"/>
        <w:gridCol w:w="143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23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b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华文中宋" w:eastAsia="仿宋_GB2312"/>
                <w:b/>
                <w:color w:val="auto"/>
                <w:sz w:val="30"/>
                <w:szCs w:val="30"/>
                <w:highlight w:val="none"/>
              </w:rPr>
              <w:t>地区</w:t>
            </w:r>
          </w:p>
        </w:tc>
        <w:tc>
          <w:tcPr>
            <w:tcW w:w="202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华文中宋" w:eastAsia="仿宋_GB2312"/>
                <w:b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/>
                <w:color w:val="auto"/>
                <w:sz w:val="30"/>
                <w:szCs w:val="30"/>
                <w:highlight w:val="none"/>
                <w:lang w:val="en-US" w:eastAsia="zh-CN"/>
              </w:rPr>
              <w:t>英才计划营员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华文中宋" w:eastAsia="仿宋_GB2312"/>
                <w:b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/>
                <w:color w:val="auto"/>
                <w:sz w:val="30"/>
                <w:szCs w:val="30"/>
                <w:highlight w:val="none"/>
                <w:lang w:val="en-US" w:eastAsia="zh-CN"/>
              </w:rPr>
              <w:t>其他营员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b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华文中宋" w:eastAsia="仿宋_GB2312"/>
                <w:b/>
                <w:color w:val="auto"/>
                <w:sz w:val="30"/>
                <w:szCs w:val="30"/>
                <w:highlight w:val="none"/>
              </w:rPr>
              <w:t>带队教师数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</w:rPr>
              <w:t>福州</w:t>
            </w:r>
          </w:p>
        </w:tc>
        <w:tc>
          <w:tcPr>
            <w:tcW w:w="202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33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0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</w:rPr>
              <w:t>厦门</w:t>
            </w:r>
          </w:p>
        </w:tc>
        <w:tc>
          <w:tcPr>
            <w:tcW w:w="202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52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0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泉州</w:t>
            </w:r>
          </w:p>
        </w:tc>
        <w:tc>
          <w:tcPr>
            <w:tcW w:w="202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17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0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</w:rPr>
              <w:t>莆田</w:t>
            </w:r>
          </w:p>
        </w:tc>
        <w:tc>
          <w:tcPr>
            <w:tcW w:w="202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</w:rPr>
              <w:t>漳州</w:t>
            </w:r>
          </w:p>
        </w:tc>
        <w:tc>
          <w:tcPr>
            <w:tcW w:w="202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</w:rPr>
              <w:t>龙岩</w:t>
            </w:r>
          </w:p>
        </w:tc>
        <w:tc>
          <w:tcPr>
            <w:tcW w:w="202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</w:rPr>
              <w:t>三明</w:t>
            </w:r>
          </w:p>
        </w:tc>
        <w:tc>
          <w:tcPr>
            <w:tcW w:w="202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</w:rPr>
              <w:t>南平</w:t>
            </w:r>
          </w:p>
        </w:tc>
        <w:tc>
          <w:tcPr>
            <w:tcW w:w="202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</w:rPr>
              <w:t>宁德</w:t>
            </w:r>
          </w:p>
        </w:tc>
        <w:tc>
          <w:tcPr>
            <w:tcW w:w="202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37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</w:rPr>
              <w:t>平潭综合实验区</w:t>
            </w:r>
          </w:p>
        </w:tc>
        <w:tc>
          <w:tcPr>
            <w:tcW w:w="202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37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省创新大赛科协主席奖获奖者</w:t>
            </w:r>
          </w:p>
        </w:tc>
        <w:tc>
          <w:tcPr>
            <w:tcW w:w="202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</w:rPr>
              <w:t>合计</w:t>
            </w:r>
          </w:p>
        </w:tc>
        <w:tc>
          <w:tcPr>
            <w:tcW w:w="202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106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40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14</w:t>
            </w:r>
          </w:p>
        </w:tc>
      </w:tr>
    </w:tbl>
    <w:p>
      <w:pPr>
        <w:widowControl/>
        <w:jc w:val="left"/>
        <w:rPr>
          <w:rFonts w:hint="eastAsia" w:ascii="黑体" w:hAnsi="华文中宋" w:eastAsia="黑体"/>
          <w:color w:val="auto"/>
          <w:sz w:val="32"/>
          <w:szCs w:val="32"/>
          <w:highlight w:val="none"/>
        </w:rPr>
      </w:pPr>
    </w:p>
    <w:p>
      <w:pPr>
        <w:widowControl/>
        <w:jc w:val="left"/>
        <w:rPr>
          <w:rFonts w:hint="eastAsia" w:ascii="黑体" w:hAnsi="华文中宋" w:eastAsia="黑体"/>
          <w:color w:val="auto"/>
          <w:sz w:val="32"/>
          <w:szCs w:val="32"/>
          <w:highlight w:val="none"/>
        </w:rPr>
      </w:pPr>
    </w:p>
    <w:p>
      <w:pPr>
        <w:widowControl/>
        <w:jc w:val="left"/>
        <w:rPr>
          <w:rFonts w:hint="eastAsia" w:ascii="黑体" w:hAnsi="华文中宋" w:eastAsia="黑体"/>
          <w:color w:val="auto"/>
          <w:sz w:val="32"/>
          <w:szCs w:val="32"/>
          <w:highlight w:val="none"/>
        </w:rPr>
      </w:pPr>
    </w:p>
    <w:p>
      <w:pPr>
        <w:widowControl/>
        <w:jc w:val="left"/>
        <w:rPr>
          <w:rFonts w:hint="eastAsia" w:ascii="黑体" w:hAnsi="华文中宋" w:eastAsia="黑体"/>
          <w:color w:val="auto"/>
          <w:sz w:val="32"/>
          <w:szCs w:val="32"/>
          <w:highlight w:val="none"/>
        </w:rPr>
      </w:pPr>
    </w:p>
    <w:p>
      <w:pPr>
        <w:widowControl/>
        <w:jc w:val="left"/>
        <w:rPr>
          <w:rFonts w:hint="eastAsia" w:ascii="黑体" w:hAnsi="华文中宋" w:eastAsia="黑体"/>
          <w:color w:val="auto"/>
          <w:sz w:val="32"/>
          <w:szCs w:val="32"/>
          <w:highlight w:val="none"/>
        </w:rPr>
      </w:pPr>
    </w:p>
    <w:p>
      <w:pPr>
        <w:widowControl/>
        <w:jc w:val="left"/>
        <w:rPr>
          <w:rFonts w:hint="eastAsia" w:ascii="黑体" w:hAnsi="华文中宋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华文中宋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华文中宋" w:eastAsia="黑体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50" w:line="70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202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年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val="en-US" w:eastAsia="zh-CN"/>
        </w:rPr>
        <w:t>福建省中学生英才计划入选学生名单</w:t>
      </w:r>
    </w:p>
    <w:tbl>
      <w:tblPr>
        <w:tblStyle w:val="8"/>
        <w:tblW w:w="906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256"/>
        <w:gridCol w:w="1399"/>
        <w:gridCol w:w="3064"/>
        <w:gridCol w:w="1101"/>
        <w:gridCol w:w="14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导师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颜凯泽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晋江市第一中学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余铌娜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吴宇威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厦门外国语学校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余铌娜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张与澄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厦门第一中学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周达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钟沛霖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厦门第一中学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周达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林大为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泉州第一中学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周达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刘皓轩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泉州第一中学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文永庆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厦门集美中学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柯佑鹏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晋江市第一中学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吴顺情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曾宸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厦门外国语学校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吴顺情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叶佳琪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建瓯第一中学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吴顺情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王以恒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泉州第五中学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吴顺情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厦门双十中学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陈松岩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黄祺安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厦门大学附属科技中学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陈松岩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侯逸钒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厦门第一中学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陈松岩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何卓一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厦门外国语学校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贺达海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涂力文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泉州市第七中学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贺达海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黄凌宇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厦门第一中学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贺达海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潘泽华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晋江市第一中学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张峰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翁和正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厦门第一中学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张峰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谢书捷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厦门外国语学校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陈理想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李卓炫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厦门双十中学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陈理想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李泽冉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同安第一中学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陈理想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郑思齐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厦门双十中学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陈理想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曾佳胜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厦门第二中学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葛翀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潘汉霖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泉州市第七中学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葛翀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刘宸睿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泉州市城东中学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葛翀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林泽豪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厦门大学附属科技中学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何承勇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施正基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厦门第六中学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何承勇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张森烨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泉州市培元中学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何承勇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吴明哲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福州第八中学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何承勇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曾材明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晋江市第一中学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李勤喜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陈瀚琪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厦门第一中学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李勤喜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许皓迪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厦门大学附属科技中学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李勤喜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赖南瑜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厦门第一中学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俞春东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林佳佳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厦门双十中学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俞春东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王敏敏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厦门集美中学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俞春东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陈宽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福州第三中学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袁吉锋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刘年泽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厦门大学附属科技中学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袁吉锋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郑皓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晋江市第一中学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袁吉锋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庄黄渊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泉州第一中学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叶龙武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蔡亦舜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厦门实验中学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叶龙武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王偲源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厦门第六中学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叶龙武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刘鼎新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厦门双十中学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杨晔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林雨嘉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厦门集美中学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杨晔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谢兆霆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厦门双十中学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杨晔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兰一菲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泉州市培元中学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苏纪豪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张翔晨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厦门外国语学校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苏纪豪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江东燊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莆田第一中学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侯旭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郭艺豪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漳州第一中学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侯旭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潘家宇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同安第一中学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侯旭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李弘轩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厦门实验中学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洪文晶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陈州桐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厦门第二中学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洪文晶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连子铭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厦门第一中学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洪文晶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沈奕同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厦门第一中学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陈嘉嘉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吴梓桐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厦门外国语学校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陈嘉嘉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蔡佳璇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厦门第一中学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曹阳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赵一鸣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厦门大学附属科技中学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曹阳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汤家乐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厦门双十中学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曹阳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蔡昕妍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漳州第一中学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曹晓宇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孙相屹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厦门外国语学校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曹晓宇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陈泓旭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厦门大学附属科技中学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曹晓宇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蔡筱彦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厦门第一中学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杨朝勇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卢梓涵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厦门双十中学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杨朝勇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洪嘉澜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厦门实验中学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杨朝勇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黄舒怡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同安第一中学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陈嘉嘉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吴德厚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泉州市培元中学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陈嘉嘉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王祉力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厦门第六中学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陈嘉嘉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张达豪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厦门集美中学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纪荣嵘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翟珮元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厦门第六中学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纪荣嵘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江宇宸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厦门大学附属科技中学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孙海信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季子宸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泉州市第七中学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孙海信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蔡一玮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泉州市第七中学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王程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吴思晨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厦门双十中学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王程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吕芩仟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同安第一中学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张德富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洪天奇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厦门外国语学校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张德富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王志睿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福州格致中学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陈叶鸿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冯博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福州第八中学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陈叶鸿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王子舜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长乐第一中学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夏岩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陈韬宇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福州格致中学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夏岩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王奕恒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福州第三中学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杨贞标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陈静仪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福州第一中学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杨贞标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官祉安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福州第一中学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杨贞标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曾子乐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福建师范大学附属中学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钟志荣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林国宇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福州高级中学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钟志荣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黄静怡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福州第一中学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程航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杨俊晔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福州格致中学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程航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任锐航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福州第一中学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魏凤英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李祥杰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福州高级中学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魏凤英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俞振羽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福州第八中学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程红举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郑天然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福州高级中学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程红举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余荃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福州第八中学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傅仰耿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林郅齐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福州第三中学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傅仰耿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方宇森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福州格致中学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刘文犀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邵瑾烨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福州高级中学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刘文犀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陈宇阳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长乐第一中学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张栋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邓皓昆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长乐第一中学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张栋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林子雄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福州第一中学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林子俺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苏西茜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福州第一中学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林子俺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李昊轩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福建师范大学附属中学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宋秋玲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范晨想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福州格致中学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宋秋玲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郑智雯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长乐第一中学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谭理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常臻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福州第一中学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谭理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蔡琳妍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福州格致中学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魏明灯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赖郭鈜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福州高级中学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魏明灯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林浩泽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长乐第一中学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叶克印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林敏杰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福州第三中学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叶克印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eastAsia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rPr>
          <w:rFonts w:ascii="黑体" w:eastAsia="黑体"/>
          <w:color w:val="auto"/>
          <w:szCs w:val="32"/>
          <w:highlight w:val="none"/>
        </w:rPr>
        <w:sectPr>
          <w:footerReference r:id="rId3" w:type="default"/>
          <w:pgSz w:w="11906" w:h="16838"/>
          <w:pgMar w:top="1531" w:right="1587" w:bottom="1531" w:left="1588" w:header="680" w:footer="850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435" w:charSpace="0"/>
        </w:sectPr>
      </w:pPr>
      <w:r>
        <w:rPr>
          <w:rFonts w:hint="eastAsia" w:ascii="黑体" w:hAnsi="华文中宋" w:eastAsia="黑体"/>
          <w:color w:val="auto"/>
          <w:sz w:val="32"/>
          <w:szCs w:val="32"/>
          <w:highlight w:val="none"/>
        </w:rPr>
        <w:br w:type="page"/>
      </w:r>
    </w:p>
    <w:p>
      <w:pPr>
        <w:rPr>
          <w:rFonts w:hint="eastAsia" w:ascii="黑体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eastAsia="黑体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spacing w:line="500" w:lineRule="exact"/>
        <w:jc w:val="center"/>
        <w:rPr>
          <w:rFonts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202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年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val="en-US" w:eastAsia="zh-CN"/>
        </w:rPr>
        <w:t>福建省中学生英才计划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高校科学营推荐汇总表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ascii="楷体" w:hAnsi="楷体" w:eastAsia="楷体" w:cs="宋体"/>
          <w:color w:val="auto"/>
          <w:spacing w:val="-2"/>
          <w:kern w:val="0"/>
          <w:sz w:val="28"/>
          <w:szCs w:val="28"/>
          <w:highlight w:val="none"/>
        </w:rPr>
      </w:pPr>
      <w:r>
        <w:rPr>
          <w:rFonts w:hint="default" w:ascii="楷体" w:hAnsi="楷体" w:eastAsia="楷体" w:cs="宋体"/>
          <w:color w:val="auto"/>
          <w:spacing w:val="-2"/>
          <w:kern w:val="0"/>
          <w:sz w:val="28"/>
          <w:szCs w:val="28"/>
          <w:highlight w:val="none"/>
        </w:rPr>
        <w:t>报送单位</w:t>
      </w:r>
      <w:r>
        <w:rPr>
          <w:rFonts w:hint="eastAsia" w:ascii="楷体" w:hAnsi="楷体" w:eastAsia="楷体" w:cs="宋体"/>
          <w:color w:val="auto"/>
          <w:spacing w:val="-2"/>
          <w:kern w:val="0"/>
          <w:sz w:val="28"/>
          <w:szCs w:val="28"/>
          <w:highlight w:val="none"/>
        </w:rPr>
        <w:t xml:space="preserve">（盖章）：                   </w:t>
      </w:r>
      <w:r>
        <w:rPr>
          <w:rFonts w:hint="eastAsia" w:ascii="楷体" w:hAnsi="楷体" w:eastAsia="楷体" w:cs="宋体"/>
          <w:color w:val="auto"/>
          <w:spacing w:val="-2"/>
          <w:kern w:val="0"/>
          <w:sz w:val="28"/>
          <w:szCs w:val="28"/>
          <w:highlight w:val="none"/>
          <w:lang w:val="en-US" w:eastAsia="zh-CN"/>
        </w:rPr>
        <w:t xml:space="preserve">                   </w:t>
      </w:r>
      <w:r>
        <w:rPr>
          <w:rFonts w:hint="eastAsia" w:ascii="楷体" w:hAnsi="楷体" w:eastAsia="楷体" w:cs="宋体"/>
          <w:color w:val="auto"/>
          <w:spacing w:val="-2"/>
          <w:kern w:val="0"/>
          <w:sz w:val="28"/>
          <w:szCs w:val="28"/>
          <w:highlight w:val="none"/>
        </w:rPr>
        <w:t xml:space="preserve">                      填报时间：    年  月  日</w:t>
      </w:r>
    </w:p>
    <w:tbl>
      <w:tblPr>
        <w:tblStyle w:val="8"/>
        <w:tblW w:w="144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134"/>
        <w:gridCol w:w="1277"/>
        <w:gridCol w:w="709"/>
        <w:gridCol w:w="709"/>
        <w:gridCol w:w="709"/>
        <w:gridCol w:w="2978"/>
        <w:gridCol w:w="1186"/>
        <w:gridCol w:w="1121"/>
        <w:gridCol w:w="945"/>
        <w:gridCol w:w="989"/>
        <w:gridCol w:w="8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/>
                <w:color w:val="auto"/>
                <w:kern w:val="0"/>
                <w:sz w:val="24"/>
                <w:highlight w:val="none"/>
              </w:rPr>
              <w:t>编号</w:t>
            </w:r>
          </w:p>
        </w:tc>
        <w:tc>
          <w:tcPr>
            <w:tcW w:w="2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/>
                <w:color w:val="auto"/>
                <w:kern w:val="0"/>
                <w:sz w:val="24"/>
                <w:highlight w:val="none"/>
              </w:rPr>
              <w:t>学校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/>
                <w:color w:val="auto"/>
                <w:kern w:val="0"/>
                <w:sz w:val="24"/>
                <w:highlight w:val="none"/>
              </w:rPr>
              <w:t>年级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/>
                <w:color w:val="auto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/>
                <w:color w:val="auto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/>
                <w:color w:val="auto"/>
                <w:kern w:val="0"/>
                <w:sz w:val="24"/>
                <w:highlight w:val="none"/>
              </w:rPr>
              <w:t>移动电话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仿宋_GB2312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/>
                <w:color w:val="auto"/>
                <w:kern w:val="0"/>
                <w:sz w:val="24"/>
                <w:highlight w:val="none"/>
              </w:rPr>
              <w:t>监护人姓名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仿宋_GB2312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/>
                <w:color w:val="auto"/>
                <w:kern w:val="0"/>
                <w:sz w:val="24"/>
                <w:highlight w:val="none"/>
              </w:rPr>
              <w:t>身高(厘米)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仿宋_GB2312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/>
                <w:color w:val="auto"/>
                <w:kern w:val="0"/>
                <w:sz w:val="24"/>
                <w:highlight w:val="none"/>
              </w:rPr>
              <w:t>体重(公斤)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仿宋_GB2312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/>
                <w:color w:val="auto"/>
                <w:kern w:val="0"/>
                <w:sz w:val="24"/>
                <w:highlight w:val="none"/>
              </w:rPr>
              <w:t>服装号码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  <w:highlight w:val="none"/>
              </w:rPr>
              <w:t>教师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2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  <w:t>9</w:t>
            </w:r>
          </w:p>
        </w:tc>
        <w:tc>
          <w:tcPr>
            <w:tcW w:w="2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2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auto"/>
                <w:spacing w:val="-2"/>
                <w:kern w:val="0"/>
                <w:sz w:val="28"/>
                <w:szCs w:val="28"/>
                <w:highlight w:val="none"/>
              </w:rPr>
            </w:pPr>
          </w:p>
        </w:tc>
      </w:tr>
    </w:tbl>
    <w:p>
      <w:pPr>
        <w:spacing w:before="217" w:beforeLines="50"/>
        <w:rPr>
          <w:rFonts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eastAsia="楷体_GB2312"/>
          <w:color w:val="auto"/>
          <w:sz w:val="28"/>
          <w:szCs w:val="28"/>
          <w:highlight w:val="none"/>
        </w:rPr>
        <w:t>填报人及所在单位：                 联系电话：</w:t>
      </w:r>
    </w:p>
    <w:sectPr>
      <w:pgSz w:w="16838" w:h="11906" w:orient="landscape"/>
      <w:pgMar w:top="1304" w:right="1440" w:bottom="1247" w:left="1440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29AB73"/>
    <w:multiLevelType w:val="singleLevel"/>
    <w:tmpl w:val="F829AB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1NGEyZGUzMWEwMjY4YzczNGQyOTAwNmYyNWZjMjcifQ=="/>
  </w:docVars>
  <w:rsids>
    <w:rsidRoot w:val="00DF65B8"/>
    <w:rsid w:val="00002563"/>
    <w:rsid w:val="000411F8"/>
    <w:rsid w:val="000458B4"/>
    <w:rsid w:val="000579EE"/>
    <w:rsid w:val="00092639"/>
    <w:rsid w:val="000A63D9"/>
    <w:rsid w:val="001302FB"/>
    <w:rsid w:val="0015058F"/>
    <w:rsid w:val="00164A7A"/>
    <w:rsid w:val="001D0461"/>
    <w:rsid w:val="001F7652"/>
    <w:rsid w:val="00200394"/>
    <w:rsid w:val="00231F21"/>
    <w:rsid w:val="00347998"/>
    <w:rsid w:val="00382C4C"/>
    <w:rsid w:val="00396912"/>
    <w:rsid w:val="003C6626"/>
    <w:rsid w:val="003E4A1B"/>
    <w:rsid w:val="00422E21"/>
    <w:rsid w:val="00490904"/>
    <w:rsid w:val="005568D3"/>
    <w:rsid w:val="00563194"/>
    <w:rsid w:val="005752BE"/>
    <w:rsid w:val="005E517C"/>
    <w:rsid w:val="00673EF6"/>
    <w:rsid w:val="006A4B8E"/>
    <w:rsid w:val="006C7C10"/>
    <w:rsid w:val="00754415"/>
    <w:rsid w:val="007D7A1C"/>
    <w:rsid w:val="007F2044"/>
    <w:rsid w:val="008A7374"/>
    <w:rsid w:val="008D0731"/>
    <w:rsid w:val="008D0E93"/>
    <w:rsid w:val="008D64C1"/>
    <w:rsid w:val="00983A64"/>
    <w:rsid w:val="009F4272"/>
    <w:rsid w:val="00A645F3"/>
    <w:rsid w:val="00A704F4"/>
    <w:rsid w:val="00A9448A"/>
    <w:rsid w:val="00C20038"/>
    <w:rsid w:val="00C92DA4"/>
    <w:rsid w:val="00CA4AF3"/>
    <w:rsid w:val="00CD242C"/>
    <w:rsid w:val="00CD3ECD"/>
    <w:rsid w:val="00D377F2"/>
    <w:rsid w:val="00D506F0"/>
    <w:rsid w:val="00D61800"/>
    <w:rsid w:val="00DF65B8"/>
    <w:rsid w:val="00E426B9"/>
    <w:rsid w:val="00E71EB8"/>
    <w:rsid w:val="00EA06A8"/>
    <w:rsid w:val="00EA5FC6"/>
    <w:rsid w:val="00ED3E34"/>
    <w:rsid w:val="00F839BE"/>
    <w:rsid w:val="00F9485D"/>
    <w:rsid w:val="02930344"/>
    <w:rsid w:val="03F8654F"/>
    <w:rsid w:val="049603A3"/>
    <w:rsid w:val="05BF2781"/>
    <w:rsid w:val="05FE063A"/>
    <w:rsid w:val="0687687D"/>
    <w:rsid w:val="075F7612"/>
    <w:rsid w:val="08AF3927"/>
    <w:rsid w:val="0972111F"/>
    <w:rsid w:val="0B633D63"/>
    <w:rsid w:val="0CB9246C"/>
    <w:rsid w:val="0D5079C9"/>
    <w:rsid w:val="0DE80AB1"/>
    <w:rsid w:val="0E1764AF"/>
    <w:rsid w:val="0EF97BEC"/>
    <w:rsid w:val="0F2C5A84"/>
    <w:rsid w:val="100053E9"/>
    <w:rsid w:val="106043C7"/>
    <w:rsid w:val="10F60887"/>
    <w:rsid w:val="118D7E6A"/>
    <w:rsid w:val="119F4A7B"/>
    <w:rsid w:val="128965FB"/>
    <w:rsid w:val="134E6759"/>
    <w:rsid w:val="143D0D84"/>
    <w:rsid w:val="14991C55"/>
    <w:rsid w:val="155E69FB"/>
    <w:rsid w:val="15B64A89"/>
    <w:rsid w:val="175C6F6A"/>
    <w:rsid w:val="179027E5"/>
    <w:rsid w:val="18A97F0A"/>
    <w:rsid w:val="18AC4D9F"/>
    <w:rsid w:val="18D52320"/>
    <w:rsid w:val="19D2505F"/>
    <w:rsid w:val="1A18186E"/>
    <w:rsid w:val="1A9C424D"/>
    <w:rsid w:val="1B2A7AAB"/>
    <w:rsid w:val="1C250273"/>
    <w:rsid w:val="1C872CDB"/>
    <w:rsid w:val="1CED5EC0"/>
    <w:rsid w:val="1FC41B50"/>
    <w:rsid w:val="1FE70067"/>
    <w:rsid w:val="231814F1"/>
    <w:rsid w:val="236C2E3A"/>
    <w:rsid w:val="239B0E1A"/>
    <w:rsid w:val="24CA7C09"/>
    <w:rsid w:val="263A337B"/>
    <w:rsid w:val="26CF59AB"/>
    <w:rsid w:val="27780600"/>
    <w:rsid w:val="28681C13"/>
    <w:rsid w:val="28732366"/>
    <w:rsid w:val="29E51041"/>
    <w:rsid w:val="2AD90BA6"/>
    <w:rsid w:val="2C3562B0"/>
    <w:rsid w:val="2C820DC9"/>
    <w:rsid w:val="2D267460"/>
    <w:rsid w:val="2D6E4218"/>
    <w:rsid w:val="2F740E9D"/>
    <w:rsid w:val="2FC968E8"/>
    <w:rsid w:val="307D0225"/>
    <w:rsid w:val="309C68FD"/>
    <w:rsid w:val="31796C3F"/>
    <w:rsid w:val="33AD497E"/>
    <w:rsid w:val="352769B2"/>
    <w:rsid w:val="367B1CBB"/>
    <w:rsid w:val="378B3228"/>
    <w:rsid w:val="38BB5D8F"/>
    <w:rsid w:val="391D4049"/>
    <w:rsid w:val="396106E4"/>
    <w:rsid w:val="39EC5049"/>
    <w:rsid w:val="3A797CAF"/>
    <w:rsid w:val="3ABF721B"/>
    <w:rsid w:val="3AF47336"/>
    <w:rsid w:val="3B167C0B"/>
    <w:rsid w:val="3B514EEF"/>
    <w:rsid w:val="3B765F9D"/>
    <w:rsid w:val="3B7841F3"/>
    <w:rsid w:val="3E91329D"/>
    <w:rsid w:val="3F3270B2"/>
    <w:rsid w:val="3F9E4C5B"/>
    <w:rsid w:val="3FDA7574"/>
    <w:rsid w:val="413D1A37"/>
    <w:rsid w:val="42DA1507"/>
    <w:rsid w:val="436332AB"/>
    <w:rsid w:val="44956FA4"/>
    <w:rsid w:val="450D2D5B"/>
    <w:rsid w:val="45181E73"/>
    <w:rsid w:val="45863281"/>
    <w:rsid w:val="45E36925"/>
    <w:rsid w:val="461F5BAF"/>
    <w:rsid w:val="467C4DAF"/>
    <w:rsid w:val="46866D53"/>
    <w:rsid w:val="472F12FF"/>
    <w:rsid w:val="476B29F1"/>
    <w:rsid w:val="479A7539"/>
    <w:rsid w:val="483D056E"/>
    <w:rsid w:val="48C42A3E"/>
    <w:rsid w:val="48D662CD"/>
    <w:rsid w:val="49C8201A"/>
    <w:rsid w:val="49CA5F7F"/>
    <w:rsid w:val="4A09701A"/>
    <w:rsid w:val="4BB07C37"/>
    <w:rsid w:val="52BB0A0D"/>
    <w:rsid w:val="53514ECE"/>
    <w:rsid w:val="535677DC"/>
    <w:rsid w:val="545A5861"/>
    <w:rsid w:val="54B971CF"/>
    <w:rsid w:val="54D51B2F"/>
    <w:rsid w:val="54E95ADA"/>
    <w:rsid w:val="552A20D4"/>
    <w:rsid w:val="55572544"/>
    <w:rsid w:val="557F71F5"/>
    <w:rsid w:val="5610616E"/>
    <w:rsid w:val="56D02C39"/>
    <w:rsid w:val="5A3317D1"/>
    <w:rsid w:val="5B650705"/>
    <w:rsid w:val="5C3D4C5E"/>
    <w:rsid w:val="5C741C2D"/>
    <w:rsid w:val="5C8F6A67"/>
    <w:rsid w:val="5DB744C7"/>
    <w:rsid w:val="607D37A6"/>
    <w:rsid w:val="60883EF9"/>
    <w:rsid w:val="612E4BD3"/>
    <w:rsid w:val="620A1069"/>
    <w:rsid w:val="63531402"/>
    <w:rsid w:val="643C5726"/>
    <w:rsid w:val="64D03BF7"/>
    <w:rsid w:val="672E75A8"/>
    <w:rsid w:val="67C47F0C"/>
    <w:rsid w:val="6ABB171C"/>
    <w:rsid w:val="6E55366E"/>
    <w:rsid w:val="6F52160A"/>
    <w:rsid w:val="728E26A0"/>
    <w:rsid w:val="74DF1EE2"/>
    <w:rsid w:val="758E56B6"/>
    <w:rsid w:val="77503BE0"/>
    <w:rsid w:val="77BD51B2"/>
    <w:rsid w:val="78B673FD"/>
    <w:rsid w:val="7AA8721A"/>
    <w:rsid w:val="7BE8128F"/>
    <w:rsid w:val="7C3A6597"/>
    <w:rsid w:val="7DC1157E"/>
    <w:rsid w:val="7DE40569"/>
    <w:rsid w:val="7DE71E07"/>
    <w:rsid w:val="7E8E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9"/>
    <w:basedOn w:val="1"/>
    <w:next w:val="1"/>
    <w:link w:val="12"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spacing w:line="240" w:lineRule="auto"/>
      <w:ind w:firstLine="0" w:firstLineChars="0"/>
    </w:pPr>
    <w:rPr>
      <w:rFonts w:ascii="宋体" w:hAnsi="Courier New" w:eastAsia="宋体" w:cs="Courier New"/>
      <w:sz w:val="21"/>
      <w:szCs w:val="21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标题 9 字符"/>
    <w:basedOn w:val="6"/>
    <w:link w:val="2"/>
    <w:qFormat/>
    <w:uiPriority w:val="9"/>
    <w:rPr>
      <w:rFonts w:asciiTheme="majorHAnsi" w:hAnsiTheme="majorHAnsi" w:eastAsiaTheme="majorEastAsia" w:cstheme="majorBid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A3A8AE-2603-4718-8CD4-8EFF4B0764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4509</Words>
  <Characters>4746</Characters>
  <Lines>29</Lines>
  <Paragraphs>8</Paragraphs>
  <TotalTime>3</TotalTime>
  <ScaleCrop>false</ScaleCrop>
  <LinksUpToDate>false</LinksUpToDate>
  <CharactersWithSpaces>4880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2024-06-04T08:16:00Z</dcterms:created>
  <dc:creator>Administrator</dc:creator>
  <cp:lastModifiedBy>Administrator</cp:lastModifiedBy>
  <cp:lastPrinted>2025-07-07T02:34:19Z</cp:lastPrinted>
  <dcterms:modified xsi:type="dcterms:W3CDTF">2025-07-07T02:36:26Z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DEDAB99949F04BE98F87A3F30E42E3AE_13</vt:lpwstr>
  </property>
  <property fmtid="{D5CDD505-2E9C-101B-9397-08002B2CF9AE}" pid="4" name="KSOTemplateDocerSaveRecord">
    <vt:lpwstr>eyJoZGlkIjoiNjVjNWI2MDQ2OGFjZDlhNjBmZThlNzJmNGQxM2M4NDMiLCJ1c2VySWQiOiI0NDgyNDg1ODIifQ==</vt:lpwstr>
  </property>
</Properties>
</file>