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EB3260">
      <w:pPr>
        <w:jc w:val="left"/>
        <w:outlineLvl w:val="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附件1</w:t>
      </w:r>
    </w:p>
    <w:p w14:paraId="204C094A">
      <w:pPr>
        <w:jc w:val="center"/>
        <w:outlineLvl w:val="0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西藏自治区普通高校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招生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志愿填报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辅助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系统</w:t>
      </w:r>
    </w:p>
    <w:p w14:paraId="0D29D0D4">
      <w:pPr>
        <w:jc w:val="center"/>
        <w:outlineLvl w:val="0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操作手册</w:t>
      </w:r>
    </w:p>
    <w:bookmarkEnd w:id="0"/>
    <w:p w14:paraId="5D0CCCA9">
      <w:pPr>
        <w:jc w:val="center"/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>(仅区内考生使用)</w:t>
      </w:r>
    </w:p>
    <w:p w14:paraId="3F6D1369">
      <w:pPr>
        <w:rPr>
          <w:rFonts w:hint="eastAsia"/>
          <w:lang w:val="en-US" w:eastAsia="zh-CN"/>
        </w:rPr>
      </w:pPr>
    </w:p>
    <w:p w14:paraId="09F192E9">
      <w:pPr>
        <w:widowControl w:val="0"/>
        <w:numPr>
          <w:ilvl w:val="0"/>
          <w:numId w:val="0"/>
        </w:numPr>
        <w:ind w:firstLine="640" w:firstLineChars="200"/>
        <w:jc w:val="both"/>
        <w:outlineLvl w:val="1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一、系统访问地址</w:t>
      </w:r>
    </w:p>
    <w:p w14:paraId="2145AE6E">
      <w:pPr>
        <w:widowControl w:val="0"/>
        <w:numPr>
          <w:ilvl w:val="0"/>
          <w:numId w:val="0"/>
        </w:numPr>
        <w:spacing w:line="480" w:lineRule="exact"/>
        <w:ind w:firstLine="640" w:firstLineChars="200"/>
        <w:jc w:val="both"/>
        <w:outlineLvl w:val="9"/>
        <w:rPr>
          <w:rFonts w:hint="eastAsia" w:ascii="黑体" w:hAnsi="黑体" w:eastAsia="黑体" w:cs="黑体"/>
          <w:b w:val="0"/>
          <w:bCs w:val="0"/>
          <w:w w:val="1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w w:val="100"/>
          <w:sz w:val="32"/>
          <w:szCs w:val="32"/>
          <w:shd w:val="clear" w:color="auto" w:fill="FFFFFF"/>
          <w:lang w:val="en-US" w:eastAsia="zh-CN"/>
        </w:rPr>
        <w:t>1.1建议考生使用计算机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w w:val="100"/>
          <w:sz w:val="32"/>
          <w:szCs w:val="32"/>
          <w:shd w:val="clear" w:color="auto" w:fill="FFFFFF"/>
          <w:lang w:val="en-US" w:eastAsia="zh-CN"/>
        </w:rPr>
        <w:t>Chrome（谷歌）浏览器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w w:val="100"/>
          <w:sz w:val="32"/>
          <w:szCs w:val="32"/>
          <w:shd w:val="clear" w:color="auto" w:fill="FFFFFF"/>
          <w:lang w:val="en-US" w:eastAsia="zh-CN"/>
        </w:rPr>
        <w:t>地址栏输入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w w:val="100"/>
          <w:sz w:val="32"/>
          <w:szCs w:val="32"/>
          <w:lang w:val="en-US" w:eastAsia="zh-CN"/>
        </w:rPr>
        <w:t>网址（</w:t>
      </w:r>
      <w:r>
        <w:rPr>
          <w:rFonts w:hint="eastAsia" w:ascii="Times New Roman" w:hAnsi="Times New Roman" w:eastAsia="仿宋_GB2312" w:cs="Times New Roman"/>
          <w:w w:val="100"/>
          <w:sz w:val="32"/>
          <w:szCs w:val="32"/>
          <w:lang w:val="en-US" w:eastAsia="zh-CN"/>
        </w:rPr>
        <w:t>http://ptgx.zsks.edu.xizang.gov.cn:8086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w w:val="100"/>
          <w:sz w:val="32"/>
          <w:szCs w:val="32"/>
          <w:lang w:val="en-US" w:eastAsia="zh-CN"/>
        </w:rPr>
        <w:t>）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w w:val="100"/>
          <w:sz w:val="32"/>
          <w:szCs w:val="32"/>
          <w:shd w:val="clear" w:color="auto" w:fill="FFFFFF"/>
          <w:lang w:val="en-US" w:eastAsia="zh-CN"/>
        </w:rPr>
        <w:t>回车后进入“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w w:val="100"/>
          <w:sz w:val="32"/>
          <w:szCs w:val="32"/>
          <w:shd w:val="clear" w:color="auto" w:fill="FFFFFF"/>
        </w:rPr>
        <w:t>西藏自治区普通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w w:val="100"/>
          <w:sz w:val="32"/>
          <w:szCs w:val="32"/>
          <w:shd w:val="clear" w:color="auto" w:fill="FFFFFF"/>
          <w:lang w:val="en-US" w:eastAsia="zh-CN"/>
        </w:rPr>
        <w:t>高校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w w:val="100"/>
          <w:sz w:val="32"/>
          <w:szCs w:val="32"/>
          <w:shd w:val="clear" w:color="auto" w:fill="FFFFFF"/>
        </w:rPr>
        <w:t>招生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w w:val="100"/>
          <w:sz w:val="32"/>
          <w:szCs w:val="32"/>
          <w:shd w:val="clear" w:color="auto" w:fill="FFFFFF"/>
          <w:lang w:val="en-US" w:eastAsia="zh-CN"/>
        </w:rPr>
        <w:t>志愿填报辅助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w w:val="100"/>
          <w:sz w:val="32"/>
          <w:szCs w:val="32"/>
          <w:shd w:val="clear" w:color="auto" w:fill="FFFFFF"/>
        </w:rPr>
        <w:t>系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w w:val="100"/>
          <w:sz w:val="32"/>
          <w:szCs w:val="32"/>
          <w:shd w:val="clear" w:color="auto" w:fill="FFFFFF"/>
          <w:lang w:eastAsia="zh-CN"/>
        </w:rPr>
        <w:t>统”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w w:val="100"/>
          <w:sz w:val="32"/>
          <w:szCs w:val="32"/>
          <w:shd w:val="clear" w:color="auto" w:fill="FFFFFF"/>
          <w:lang w:val="en-US" w:eastAsia="zh-CN"/>
        </w:rPr>
        <w:t>考生登录界面。</w:t>
      </w:r>
    </w:p>
    <w:p w14:paraId="73D6AA9F">
      <w:pPr>
        <w:widowControl w:val="0"/>
        <w:numPr>
          <w:ilvl w:val="0"/>
          <w:numId w:val="0"/>
        </w:numPr>
        <w:ind w:firstLine="640" w:firstLineChars="200"/>
        <w:jc w:val="both"/>
        <w:outlineLvl w:val="1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二、登录</w:t>
      </w:r>
    </w:p>
    <w:p w14:paraId="70E9820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2.1 系统登录方式。区内考生在考生登录界面输入考生号、身份证号、密码（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与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考生高考报名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系统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密码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一致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）、图形验证码后进行登录。如图-21所示。</w:t>
      </w:r>
    </w:p>
    <w:p w14:paraId="15B78D9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textAlignment w:val="auto"/>
        <w:rPr>
          <w:rFonts w:hint="default" w:ascii="Times New Roman" w:hAnsi="Times New Roman" w:eastAsia="仿宋_GB2312" w:cs="Times New Roman"/>
          <w:color w:val="FF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注意：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登录成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功后系统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30分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钟内无任何操作将会登录失效并自动退出系统。</w:t>
      </w:r>
      <w:r>
        <w:rPr>
          <w:rFonts w:hint="default" w:ascii="Times New Roman" w:hAnsi="Times New Roman" w:eastAsia="仿宋_GB2312" w:cs="Times New Roman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建议考生每次使用操作结束后，及时退出系统，妥善保管自己的登录账户和密码。</w:t>
      </w:r>
      <w:r>
        <w:rPr>
          <w:rFonts w:hint="default" w:ascii="Times New Roman" w:hAnsi="Times New Roman" w:eastAsia="仿宋_GB2312" w:cs="Times New Roman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若因自身保管不慎泄露密码，后果由考生自负。</w:t>
      </w:r>
    </w:p>
    <w:p w14:paraId="4DFE007C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109210" cy="2733675"/>
            <wp:effectExtent l="0" t="0" r="5715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0921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0796F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图-21</w:t>
      </w:r>
    </w:p>
    <w:p w14:paraId="1F83C546">
      <w:pPr>
        <w:numPr>
          <w:ilvl w:val="0"/>
          <w:numId w:val="0"/>
        </w:numPr>
        <w:ind w:firstLine="0" w:firstLineChars="0"/>
        <w:rPr>
          <w:rFonts w:hint="default"/>
          <w:lang w:val="en-US" w:eastAsia="zh-CN"/>
        </w:rPr>
      </w:pPr>
    </w:p>
    <w:p w14:paraId="1C5241C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2.2 修改密码。首次登录系统的考生需要修改密码，修改完成后重新使用考生号、身份证号、新密码登录系统。如图-22所示。</w:t>
      </w:r>
    </w:p>
    <w:p w14:paraId="2D6260A7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040" cy="2617470"/>
            <wp:effectExtent l="0" t="0" r="3810" b="1905"/>
            <wp:docPr id="12" name="图片 12" descr="5775d6564490a815176934e8896c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775d6564490a815176934e8896c90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0BC59">
      <w:pPr>
        <w:widowControl w:val="0"/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图-22</w:t>
      </w:r>
    </w:p>
    <w:p w14:paraId="570206E1">
      <w:pPr>
        <w:widowControl w:val="0"/>
        <w:numPr>
          <w:ilvl w:val="0"/>
          <w:numId w:val="0"/>
        </w:numPr>
        <w:jc w:val="center"/>
        <w:rPr>
          <w:rFonts w:hint="eastAsia"/>
          <w:lang w:val="en-US" w:eastAsia="zh-CN"/>
        </w:rPr>
      </w:pPr>
    </w:p>
    <w:p w14:paraId="7812C2D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2.3 密码找回方式。如果考生忘记密码可以点击登录页面“忘记密码”，系统会弹出找回密码弹窗，通过在弹窗中填写相关信息进行找回密码，如图-23所示；也可以向高考报名时报名点教育考试机构提出书面申请重置密码。</w:t>
      </w:r>
    </w:p>
    <w:p w14:paraId="5D6734C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40D4E789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2459355"/>
            <wp:effectExtent l="0" t="0" r="4445" b="7620"/>
            <wp:docPr id="22" name="图片 22" descr="03804536-cede-4b62-88e1-1df1446652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03804536-cede-4b62-88e1-1df1446652c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795E9">
      <w:pPr>
        <w:widowControl w:val="0"/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图-23</w:t>
      </w:r>
    </w:p>
    <w:p w14:paraId="55998430">
      <w:pPr>
        <w:widowControl w:val="0"/>
        <w:numPr>
          <w:ilvl w:val="0"/>
          <w:numId w:val="0"/>
        </w:numPr>
        <w:jc w:val="both"/>
        <w:outlineLvl w:val="9"/>
        <w:rPr>
          <w:rFonts w:hint="default"/>
          <w:lang w:val="en-US" w:eastAsia="zh-CN"/>
        </w:rPr>
      </w:pPr>
    </w:p>
    <w:p w14:paraId="5514EB54">
      <w:pPr>
        <w:widowControl w:val="0"/>
        <w:numPr>
          <w:ilvl w:val="0"/>
          <w:numId w:val="0"/>
        </w:numPr>
        <w:ind w:firstLine="640" w:firstLineChars="200"/>
        <w:jc w:val="both"/>
        <w:outlineLvl w:val="1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三、主页</w:t>
      </w:r>
    </w:p>
    <w:p w14:paraId="774A7CE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3.1 登录主页。登录成功后进入主页，系统首先会弹窗显示“西藏自治区普通高校招生志愿填报辅助系统使用须知”，请考生仔细阅读，并点击勾选“以上内容我已仔细阅读，确认已知晓”，如图-31所示。再点击“确认”按钮即可使用系统。如图-32所示。</w:t>
      </w:r>
    </w:p>
    <w:p w14:paraId="77C96B8F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323840" cy="2529840"/>
            <wp:effectExtent l="0" t="0" r="635" b="3810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2384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25445">
      <w:pPr>
        <w:widowControl w:val="0"/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图-31</w:t>
      </w:r>
    </w:p>
    <w:p w14:paraId="5CC58462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349875" cy="2398395"/>
            <wp:effectExtent l="0" t="0" r="3175" b="1905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49875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A640E">
      <w:pPr>
        <w:widowControl w:val="0"/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图-32</w:t>
      </w:r>
    </w:p>
    <w:p w14:paraId="57A5E031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62106852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6F90A82E">
      <w:pPr>
        <w:widowControl w:val="0"/>
        <w:numPr>
          <w:ilvl w:val="0"/>
          <w:numId w:val="0"/>
        </w:numPr>
        <w:ind w:firstLine="640" w:firstLineChars="200"/>
        <w:jc w:val="both"/>
        <w:outlineLvl w:val="1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四、政策介绍</w:t>
      </w:r>
    </w:p>
    <w:p w14:paraId="278151A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4.1 筛选查询。系统已汇总国家和自治区相关通知公告、招考政策、心理评测、志愿前景、填报指南等信息，考生可以通过筛选查询志愿填报相关信息。</w:t>
      </w:r>
    </w:p>
    <w:p w14:paraId="08D46A9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textAlignment w:val="auto"/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4.2 查询方式。可点击选中筛选项（范围、类别）或输入标题后，点击“查询”按钮即可进行筛选查询；已选中的筛选项再次点击即可取消选中；点击“重置”按钮可取消上面所有已选筛选项。如图-42所示。（注：系统后续功能列表信息查询方式与此一致。）</w:t>
      </w:r>
    </w:p>
    <w:p w14:paraId="2339B1E2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74310" cy="2265045"/>
            <wp:effectExtent l="0" t="0" r="2540" b="190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7E1BA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图-42</w:t>
      </w:r>
    </w:p>
    <w:p w14:paraId="5EDADAC1">
      <w:pPr>
        <w:widowControl w:val="0"/>
        <w:numPr>
          <w:ilvl w:val="0"/>
          <w:numId w:val="0"/>
        </w:numPr>
        <w:ind w:firstLine="640" w:firstLineChars="200"/>
        <w:jc w:val="both"/>
        <w:outlineLvl w:val="1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 w14:paraId="4038BE5C">
      <w:pPr>
        <w:widowControl w:val="0"/>
        <w:numPr>
          <w:ilvl w:val="0"/>
          <w:numId w:val="0"/>
        </w:numPr>
        <w:ind w:firstLine="640" w:firstLineChars="200"/>
        <w:jc w:val="both"/>
        <w:outlineLvl w:val="1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五、院校介绍</w:t>
      </w:r>
    </w:p>
    <w:p w14:paraId="228C64F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5.1 筛选院校。院校介绍链接到教育部阳光高考网站“院校库”，供考生筛选院校信息。如图-51所示。</w:t>
      </w:r>
    </w:p>
    <w:p w14:paraId="1AC68A7F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drawing>
          <wp:inline distT="0" distB="0" distL="114300" distR="114300">
            <wp:extent cx="5266690" cy="2614295"/>
            <wp:effectExtent l="0" t="0" r="635" b="5080"/>
            <wp:docPr id="8" name="图片 8" descr="1719077836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190778367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46058">
      <w:pPr>
        <w:widowControl w:val="0"/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图-51</w:t>
      </w:r>
    </w:p>
    <w:p w14:paraId="643890A3"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lang w:val="en-US" w:eastAsia="zh-CN"/>
        </w:rPr>
      </w:pPr>
    </w:p>
    <w:p w14:paraId="4EBACBE9">
      <w:pPr>
        <w:widowControl w:val="0"/>
        <w:numPr>
          <w:ilvl w:val="0"/>
          <w:numId w:val="0"/>
        </w:numPr>
        <w:ind w:firstLine="640" w:firstLineChars="200"/>
        <w:jc w:val="both"/>
        <w:outlineLvl w:val="1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六、专业介绍</w:t>
      </w:r>
    </w:p>
    <w:p w14:paraId="7C12A52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6.1 筛选专业。院校介绍链接到教育部阳光高考网站“专业知识库”供考生筛选专业信息。如图-61所示。</w:t>
      </w:r>
    </w:p>
    <w:p w14:paraId="0C0AD421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614295"/>
            <wp:effectExtent l="0" t="0" r="635" b="5080"/>
            <wp:docPr id="9" name="图片 9" descr="1719077889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190778891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EAD56">
      <w:pPr>
        <w:widowControl w:val="0"/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图-61</w:t>
      </w:r>
    </w:p>
    <w:p w14:paraId="29794661">
      <w:pPr>
        <w:widowControl w:val="0"/>
        <w:numPr>
          <w:ilvl w:val="0"/>
          <w:numId w:val="0"/>
        </w:numPr>
        <w:jc w:val="center"/>
        <w:rPr>
          <w:rFonts w:hint="eastAsia"/>
          <w:lang w:val="en-US" w:eastAsia="zh-CN"/>
        </w:rPr>
      </w:pPr>
    </w:p>
    <w:p w14:paraId="6DF5DCBA">
      <w:pPr>
        <w:widowControl w:val="0"/>
        <w:numPr>
          <w:ilvl w:val="0"/>
          <w:numId w:val="0"/>
        </w:numPr>
        <w:ind w:firstLine="640" w:firstLineChars="200"/>
        <w:jc w:val="both"/>
        <w:outlineLvl w:val="1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七、招生计划</w:t>
      </w:r>
    </w:p>
    <w:p w14:paraId="4331B21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7.1 计划分类。招生计划分为“2026年招生计划”和“2023-2026年招生计划”。</w:t>
      </w:r>
    </w:p>
    <w:p w14:paraId="0A034B9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textAlignment w:val="auto"/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7.2 查询2026年招生计划。如图-72所示，筛选项由“院校所在地、主管部门类别、办学层次、院校特性、批次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选项和输入项“院校名称、专业名称”组成，筛选项默认全部，支持多选，点击“查询”按钮即可查询相应招生计划数据。查询方式参照（4.2）。</w:t>
      </w:r>
    </w:p>
    <w:p w14:paraId="01FC5324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2146935"/>
            <wp:effectExtent l="0" t="0" r="8255" b="5715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C1A2F">
      <w:pPr>
        <w:widowControl w:val="0"/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图-72</w:t>
      </w:r>
    </w:p>
    <w:p w14:paraId="133AAA71">
      <w:pPr>
        <w:widowControl w:val="0"/>
        <w:numPr>
          <w:ilvl w:val="0"/>
          <w:numId w:val="0"/>
        </w:numPr>
        <w:ind w:firstLine="420" w:firstLineChars="0"/>
        <w:jc w:val="both"/>
        <w:rPr>
          <w:rFonts w:hint="eastAsia"/>
          <w:lang w:val="en-US" w:eastAsia="zh-CN"/>
        </w:rPr>
      </w:pPr>
    </w:p>
    <w:p w14:paraId="0343E81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textAlignment w:val="auto"/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7.3 筛选计划。点击“查询”按钮后，系统将展示2026年招生计划筛选结果，如图-73所示，通过列表分页展示招生计划年份、院校、专业、科类、批次、计划、学制、学费、备注信息。列表每页显示10条记录，点击右下角页码（或上一页、下一页）可进行翻页查看招生计划信息。</w:t>
      </w:r>
    </w:p>
    <w:p w14:paraId="5AC2AFF1"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5420" cy="2315210"/>
            <wp:effectExtent l="0" t="0" r="1905" b="8890"/>
            <wp:docPr id="3" name="图片 3" descr="e43f7489dae6ff8f3e63ae2f802f9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43f7489dae6ff8f3e63ae2f802f902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867F2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图-73</w:t>
      </w:r>
    </w:p>
    <w:p w14:paraId="504C025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1EC5917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textAlignment w:val="auto"/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7.4 查询2023-2026年招生计划。与“2026年招生计划”模块功能相比，增加了年份筛选项，可以跨年度查询招生计划。如图-74所示，筛选查询方式参照（4.2），筛选结果展示方式与（7.3）一致。</w:t>
      </w:r>
    </w:p>
    <w:p w14:paraId="174F4A5C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2461260"/>
            <wp:effectExtent l="0" t="0" r="5715" b="5715"/>
            <wp:docPr id="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27F2C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图-74</w:t>
      </w:r>
    </w:p>
    <w:p w14:paraId="167E0393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295C4604">
      <w:pPr>
        <w:widowControl w:val="0"/>
        <w:numPr>
          <w:ilvl w:val="0"/>
          <w:numId w:val="0"/>
        </w:numPr>
        <w:ind w:firstLine="640" w:firstLineChars="200"/>
        <w:jc w:val="both"/>
        <w:outlineLvl w:val="1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八、往年录取</w:t>
      </w:r>
    </w:p>
    <w:p w14:paraId="785EB0C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textAlignment w:val="auto"/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8.1 查询2023-2025年录取情况。如图-81所示，筛选项由“院校所在地、主管部门类别、办学层次、院校特性、批次、年份”选项和输入项“院校名称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组成，筛选项默认全部选择，支持多选，点击“查询”按钮即可查询相应录取信息。查询方式参照（4.2）。</w:t>
      </w:r>
    </w:p>
    <w:p w14:paraId="228EB48A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2192655"/>
            <wp:effectExtent l="0" t="0" r="6350" b="7620"/>
            <wp:docPr id="3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4B7D5">
      <w:pPr>
        <w:widowControl w:val="0"/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t>图-81</w:t>
      </w:r>
    </w:p>
    <w:p w14:paraId="3F3831B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8.2 筛选2023-2025年录取结果。点击“查询”按钮后，系统将展示2023-2025年院校录取筛选结果，如图-82所示，通过列表分页展示录取年份、批次、院校、院校所在地、科类、生源类别、最低排名、操作（专业录取情况）。列表每页显示10条记录，点击右下角页码（或上一页、下一页）可进行翻页查看往年录取情况。</w:t>
      </w:r>
    </w:p>
    <w:p w14:paraId="78BD525D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2419350"/>
            <wp:effectExtent l="0" t="0" r="5080" b="0"/>
            <wp:docPr id="3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07492">
      <w:pPr>
        <w:widowControl w:val="0"/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t>图-82</w:t>
      </w:r>
    </w:p>
    <w:p w14:paraId="335A027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textAlignment w:val="auto"/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8.3 查看2023-2025年院校专业录取筛选结果。如图-83所示，在列表中点击“专业录取情况”按钮即可进入当前院校专业录取信息列表。如图-84所示，筛选项由“年份、批次”选项和输入项“专业名称”组成，筛选项支持多选，点击“查询”按钮即可查询相应录取信息。通过列表分页展示专业录取年份、批次、院校、专业、科类、生源类别、最低排名信息。查询方式参照（4.2）。</w:t>
      </w:r>
    </w:p>
    <w:p w14:paraId="119743BA">
      <w:pPr>
        <w:widowControl w:val="0"/>
        <w:numPr>
          <w:ilvl w:val="-1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2464435"/>
            <wp:effectExtent l="0" t="0" r="3810" b="2540"/>
            <wp:docPr id="3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97D66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图-83</w:t>
      </w:r>
    </w:p>
    <w:p w14:paraId="6DA9B594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0340" cy="2414270"/>
            <wp:effectExtent l="0" t="0" r="6985" b="5080"/>
            <wp:docPr id="3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ECD2F">
      <w:pPr>
        <w:widowControl w:val="0"/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图-84</w:t>
      </w:r>
    </w:p>
    <w:p w14:paraId="27E7B8BE">
      <w:pPr>
        <w:widowControl w:val="0"/>
        <w:numPr>
          <w:ilvl w:val="0"/>
          <w:numId w:val="0"/>
        </w:numPr>
        <w:jc w:val="center"/>
        <w:rPr>
          <w:rFonts w:hint="eastAsia"/>
          <w:lang w:val="en-US" w:eastAsia="zh-CN"/>
        </w:rPr>
      </w:pPr>
    </w:p>
    <w:p w14:paraId="16F8C6AD">
      <w:pPr>
        <w:widowControl w:val="0"/>
        <w:numPr>
          <w:ilvl w:val="0"/>
          <w:numId w:val="0"/>
        </w:numPr>
        <w:ind w:firstLine="640" w:firstLineChars="200"/>
        <w:jc w:val="both"/>
        <w:outlineLvl w:val="1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九、志愿备选（参考）</w:t>
      </w:r>
    </w:p>
    <w:p w14:paraId="3ADDCF1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9.1 设置志愿意向。根据考生的志愿意向选择“院校所在地、主管部门类别、院校特性、批次”选项，支持多选，选择完成后点击“保存”按钮即可保存志愿意向。如图-91所示，选择了&lt;西藏&gt;&lt;“双一流”建设高校&gt;，表示当前的志愿意向是想报考西藏的院校，且院校特性是“双一流”建设高校。</w:t>
      </w:r>
    </w:p>
    <w:p w14:paraId="7B90BA64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20950"/>
            <wp:effectExtent l="0" t="0" r="635" b="3175"/>
            <wp:docPr id="3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0D65D">
      <w:pPr>
        <w:widowControl w:val="0"/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图-91</w:t>
      </w:r>
    </w:p>
    <w:p w14:paraId="5038101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9.2查看志愿备选。根据保存成功的志愿意向，结合当前考生的特征总分、排名、科类、生源类别，以及历年院校专业的录取情况，综合得出志愿备选院校及专业参考信息。如图-92所示。志愿备选展示的信息由“批次名称、院校名称、专业名称”组成，考生可在列表中查看院校招生章程、院校满意度、专业满意度、专业推荐、专业介绍、就业情况、升学比例、职业评价、薪酬指数。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val="en-US" w:eastAsia="zh-CN"/>
        </w:rPr>
        <w:t>注意：系统推荐的志愿备选院校及专业仅供参考，顺序不分先后。考生应在全面了解我区录取批次设置、志愿设置、投档规则、录取规则和有关高校招生章程后，结合本人排名、兴趣、能力倾向以及生涯规划等，认真填报自己的高考志愿，不得由他人代填。</w:t>
      </w:r>
    </w:p>
    <w:p w14:paraId="726EC05C">
      <w:pPr>
        <w:widowControl w:val="0"/>
        <w:numPr>
          <w:ilvl w:val="0"/>
          <w:numId w:val="0"/>
        </w:numPr>
        <w:jc w:val="center"/>
        <w:rPr>
          <w:rFonts w:hint="eastAsia"/>
          <w:lang w:val="en-US" w:eastAsia="zh-CN"/>
        </w:rPr>
      </w:pPr>
    </w:p>
    <w:p w14:paraId="3BB93FAF">
      <w:pPr>
        <w:widowControl w:val="0"/>
        <w:numPr>
          <w:ilvl w:val="0"/>
          <w:numId w:val="0"/>
        </w:numPr>
        <w:jc w:val="center"/>
        <w:rPr>
          <w:rFonts w:hint="default"/>
          <w:lang w:val="en" w:eastAsia="zh-CN"/>
        </w:rPr>
      </w:pPr>
    </w:p>
    <w:p w14:paraId="1A48E9C5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520950"/>
            <wp:effectExtent l="0" t="0" r="635" b="3175"/>
            <wp:docPr id="3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06759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图-92</w:t>
      </w:r>
    </w:p>
    <w:p w14:paraId="70B7FAA9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4A131100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72A1761C">
      <w:pPr>
        <w:widowControl w:val="0"/>
        <w:numPr>
          <w:ilvl w:val="0"/>
          <w:numId w:val="0"/>
        </w:numPr>
        <w:ind w:firstLine="640" w:firstLineChars="200"/>
        <w:jc w:val="both"/>
        <w:outlineLvl w:val="1"/>
        <w:rPr>
          <w:rFonts w:hint="default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十、志愿模拟</w:t>
      </w:r>
    </w:p>
    <w:p w14:paraId="1A93F03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10.1 志愿模拟填报。系统提供志愿模拟填报功能，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仅供参考和熟悉志愿填报操作。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志愿模拟填报的选择顺序依次为：批次、院校、专业、专业服从调剂，如图-101所示。选择完成后点击“保存模拟志愿”并确定即可保存当前批次模拟志愿，如图-102所示。同批次系统只保留最后一次提交确认的模拟志愿。</w:t>
      </w:r>
    </w:p>
    <w:p w14:paraId="4F355802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2540000"/>
            <wp:effectExtent l="0" t="0" r="3175" b="3175"/>
            <wp:docPr id="3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5F90A">
      <w:pPr>
        <w:widowControl w:val="0"/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图-101</w:t>
      </w:r>
    </w:p>
    <w:p w14:paraId="68240DE4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</w:p>
    <w:p w14:paraId="0BCBACCB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0340" cy="2569210"/>
            <wp:effectExtent l="0" t="0" r="6985" b="2540"/>
            <wp:docPr id="4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43C7A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图-102</w:t>
      </w:r>
    </w:p>
    <w:p w14:paraId="7F72167A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536671D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10.2 查看志愿模拟结果。志愿模拟填报保存确认成功后，点击“志愿模拟结果”，可以查看已保存的志愿模拟填报结果，如图-103所示。点击“下载模拟志愿”即可下载志愿模拟填报结果PDF文件，如图-104所示。</w:t>
      </w:r>
    </w:p>
    <w:p w14:paraId="27BCF727">
      <w:pPr>
        <w:widowControl w:val="0"/>
        <w:numPr>
          <w:ilvl w:val="0"/>
          <w:numId w:val="0"/>
        </w:numPr>
        <w:ind w:firstLine="420" w:firstLineChars="0"/>
        <w:jc w:val="both"/>
        <w:rPr>
          <w:rFonts w:hint="eastAsia"/>
          <w:lang w:val="en-US" w:eastAsia="zh-CN"/>
        </w:rPr>
      </w:pPr>
    </w:p>
    <w:p w14:paraId="418EA3D4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20950"/>
            <wp:effectExtent l="0" t="0" r="635" b="3175"/>
            <wp:docPr id="3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D7F49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图-103</w:t>
      </w:r>
    </w:p>
    <w:p w14:paraId="5B8B078C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4658995" cy="3519170"/>
            <wp:effectExtent l="0" t="0" r="8255" b="5080"/>
            <wp:docPr id="4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58995" cy="351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94DC2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图-104</w:t>
      </w:r>
    </w:p>
    <w:p w14:paraId="2D13B70F">
      <w:pPr>
        <w:widowControl w:val="0"/>
        <w:numPr>
          <w:ilvl w:val="0"/>
          <w:numId w:val="0"/>
        </w:numPr>
        <w:ind w:firstLine="640" w:firstLineChars="200"/>
        <w:jc w:val="both"/>
        <w:outlineLvl w:val="9"/>
        <w:rPr>
          <w:rFonts w:hint="default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 w14:paraId="2C298E51">
      <w:pPr>
        <w:widowControl w:val="0"/>
        <w:numPr>
          <w:ilvl w:val="0"/>
          <w:numId w:val="0"/>
        </w:numPr>
        <w:ind w:firstLine="640" w:firstLineChars="200"/>
        <w:jc w:val="both"/>
        <w:outlineLvl w:val="1"/>
        <w:rPr>
          <w:rFonts w:hint="default"/>
          <w:b/>
          <w:bCs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十一、留言反馈</w:t>
      </w:r>
    </w:p>
    <w:p w14:paraId="1650E81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11.1 点击“留言反馈”-“添加留言反馈”，考生可就志愿填报辅助系统提出意见建议。如图-111所示。</w:t>
      </w:r>
    </w:p>
    <w:p w14:paraId="7D4BC04D">
      <w:pPr>
        <w:widowControl w:val="0"/>
        <w:numPr>
          <w:ilvl w:val="0"/>
          <w:numId w:val="0"/>
        </w:numPr>
        <w:ind w:firstLine="0" w:firstLineChars="0"/>
        <w:jc w:val="both"/>
        <w:outlineLvl w:val="1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65420" cy="2567940"/>
            <wp:effectExtent l="0" t="0" r="1905" b="3810"/>
            <wp:docPr id="2" name="图片 2" descr="d643177f369f51d33d5193ed0e8bd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643177f369f51d33d5193ed0e8bded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7A471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图-111</w:t>
      </w:r>
    </w:p>
    <w:p w14:paraId="0810E56B">
      <w:pPr>
        <w:widowControl w:val="0"/>
        <w:numPr>
          <w:ilvl w:val="0"/>
          <w:numId w:val="0"/>
        </w:numPr>
        <w:ind w:firstLine="0" w:firstLineChars="0"/>
        <w:jc w:val="both"/>
        <w:outlineLvl w:val="1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 w14:paraId="2515FFDA">
      <w:pPr>
        <w:widowControl w:val="0"/>
        <w:numPr>
          <w:ilvl w:val="0"/>
          <w:numId w:val="0"/>
        </w:numPr>
        <w:ind w:firstLine="0" w:firstLineChars="0"/>
        <w:jc w:val="both"/>
        <w:outlineLvl w:val="1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 w14:paraId="7C6A4D54">
      <w:pPr>
        <w:widowControl w:val="0"/>
        <w:numPr>
          <w:ilvl w:val="0"/>
          <w:numId w:val="0"/>
        </w:numPr>
        <w:ind w:firstLine="640" w:firstLineChars="200"/>
        <w:jc w:val="both"/>
        <w:outlineLvl w:val="1"/>
        <w:rPr>
          <w:rFonts w:hint="default"/>
          <w:b/>
          <w:bCs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十二、退出系统</w:t>
      </w:r>
    </w:p>
    <w:p w14:paraId="1C4A172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12.1 点击“退出系统”并确定即可退出系统。如图-121所示。每次登录后请确认退出系统。</w:t>
      </w:r>
    </w:p>
    <w:p w14:paraId="0B1EC0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4353D3BB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093720" cy="1402080"/>
            <wp:effectExtent l="0" t="0" r="1905" b="7620"/>
            <wp:docPr id="24" name="图片 24" descr="1719424284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71942428465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1F4CC">
      <w:pPr>
        <w:widowControl w:val="0"/>
        <w:numPr>
          <w:ilvl w:val="0"/>
          <w:numId w:val="0"/>
        </w:numPr>
        <w:jc w:val="center"/>
        <w:rPr>
          <w:rFonts w:hint="default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t>图-121</w:t>
      </w:r>
    </w:p>
    <w:p w14:paraId="222D9CD4">
      <w:pPr>
        <w:widowControl w:val="0"/>
        <w:numPr>
          <w:ilvl w:val="0"/>
          <w:numId w:val="0"/>
        </w:numPr>
        <w:ind w:firstLine="0" w:firstLineChars="0"/>
        <w:jc w:val="both"/>
        <w:outlineLvl w:val="9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 w14:paraId="690BB6F2">
      <w:pPr>
        <w:widowControl w:val="0"/>
        <w:numPr>
          <w:ilvl w:val="0"/>
          <w:numId w:val="0"/>
        </w:numPr>
        <w:ind w:firstLine="640" w:firstLineChars="200"/>
        <w:jc w:val="both"/>
        <w:outlineLvl w:val="1"/>
        <w:rPr>
          <w:rFonts w:hint="default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十三、重要链接</w:t>
      </w:r>
    </w:p>
    <w:p w14:paraId="545360A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13.1 教育部阳光高考网站链接，点击菜单栏底部“阳光高考”图标即可跳转至教育部阳光高考网站—教育部高校招生阳光工程指定平台。如图-131所示。</w:t>
      </w:r>
    </w:p>
    <w:p w14:paraId="6EF68053">
      <w:r>
        <w:rPr>
          <w:rFonts w:hint="default"/>
          <w:lang w:val="en-US" w:eastAsia="zh-CN"/>
        </w:rPr>
        <w:drawing>
          <wp:inline distT="0" distB="0" distL="114300" distR="114300">
            <wp:extent cx="3383280" cy="2225040"/>
            <wp:effectExtent l="0" t="0" r="7620" b="3810"/>
            <wp:docPr id="20" name="图片 20" descr="1719424180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71942418050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12A49A3"/>
    <w:rsid w:val="312A4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2026-06-26T08:06:00Z</dcterms:created>
  <dc:creator>被上帝遗忘</dc:creator>
  <cp:lastModifiedBy>被上帝遗忘</cp:lastModifiedBy>
  <dcterms:modified xsi:type="dcterms:W3CDTF">2026-06-26T08:07:41Z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0C7F16CEB87E46CC941FC252F2842D76_11</vt:lpwstr>
  </property>
  <property fmtid="{D5CDD505-2E9C-101B-9397-08002B2CF9AE}" pid="4" name="KSOTemplateDocerSaveRecord">
    <vt:lpwstr>eyJoZGlkIjoiYzAzZTkwYjRmMjRiMGJhM2E0MmM2ZDVkMjcwNDRjYzkiLCJ1c2VySWQiOiIzMDYwMzgzOTYifQ==</vt:lpwstr>
  </property>
</Properties>
</file>