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3" w:afterLines="50" w:line="400" w:lineRule="exact"/>
        <w:jc w:val="center"/>
        <w:rPr>
          <w:rFonts w:ascii="黑体" w:eastAsia="黑体"/>
          <w:sz w:val="32"/>
          <w:szCs w:val="32"/>
        </w:rPr>
      </w:pPr>
      <w:bookmarkStart w:id="0" w:name="_GoBack"/>
      <w:bookmarkEnd w:id="0"/>
      <w:r>
        <w:rPr>
          <w:rFonts w:hint="eastAsia" w:ascii="黑体" w:eastAsia="黑体"/>
          <w:b/>
          <w:sz w:val="32"/>
          <w:szCs w:val="32"/>
        </w:rPr>
        <w:t>浙江师范大学硕士研究生入学考试初试科目</w:t>
      </w:r>
      <w:r>
        <w:rPr>
          <w:rFonts w:ascii="黑体" w:eastAsia="黑体"/>
          <w:b/>
          <w:sz w:val="32"/>
          <w:szCs w:val="32"/>
        </w:rPr>
        <w:br w:type="textWrapping"/>
      </w:r>
      <w:r>
        <w:rPr>
          <w:rFonts w:hint="eastAsia" w:ascii="黑体" w:eastAsia="黑体"/>
          <w:b/>
          <w:sz w:val="32"/>
          <w:szCs w:val="32"/>
        </w:rPr>
        <w:t>考　试　大　纲</w:t>
      </w:r>
    </w:p>
    <w:tbl>
      <w:tblPr>
        <w:tblStyle w:val="6"/>
        <w:tblW w:w="8460" w:type="dxa"/>
        <w:tblInd w:w="108" w:type="dxa"/>
        <w:tblLayout w:type="fixed"/>
        <w:tblCellMar>
          <w:top w:w="0" w:type="dxa"/>
          <w:left w:w="108" w:type="dxa"/>
          <w:bottom w:w="0" w:type="dxa"/>
          <w:right w:w="108" w:type="dxa"/>
        </w:tblCellMar>
      </w:tblPr>
      <w:tblGrid>
        <w:gridCol w:w="1080"/>
        <w:gridCol w:w="655"/>
        <w:gridCol w:w="6725"/>
      </w:tblGrid>
      <w:tr>
        <w:tblPrEx>
          <w:tblCellMar>
            <w:top w:w="0" w:type="dxa"/>
            <w:left w:w="108" w:type="dxa"/>
            <w:bottom w:w="0" w:type="dxa"/>
            <w:right w:w="108" w:type="dxa"/>
          </w:tblCellMar>
        </w:tblPrEx>
        <w:trPr>
          <w:trHeight w:val="435" w:hRule="atLeast"/>
        </w:trPr>
        <w:tc>
          <w:tcPr>
            <w:tcW w:w="1735" w:type="dxa"/>
            <w:gridSpan w:val="2"/>
            <w:vAlign w:val="bottom"/>
          </w:tcPr>
          <w:p>
            <w:pPr>
              <w:spacing w:after="48" w:afterLines="15"/>
              <w:ind w:left="-110" w:leftChars="-50" w:right="-110" w:rightChars="-50"/>
              <w:rPr>
                <w:rFonts w:ascii="宋体" w:hAnsi="宋体"/>
                <w:b/>
                <w:szCs w:val="21"/>
              </w:rPr>
            </w:pPr>
            <w:r>
              <w:rPr>
                <w:rFonts w:hint="eastAsia" w:ascii="宋体" w:hAnsi="宋体"/>
                <w:b/>
                <w:szCs w:val="21"/>
              </w:rPr>
              <w:t>科目代码、名称:</w:t>
            </w:r>
          </w:p>
        </w:tc>
        <w:tc>
          <w:tcPr>
            <w:tcW w:w="6725" w:type="dxa"/>
            <w:tcBorders>
              <w:bottom w:val="single" w:color="auto" w:sz="4" w:space="0"/>
            </w:tcBorders>
            <w:vAlign w:val="bottom"/>
          </w:tcPr>
          <w:p>
            <w:pPr>
              <w:pStyle w:val="2"/>
              <w:spacing w:before="81" w:beforeLines="25" w:after="32" w:afterLines="10" w:line="240" w:lineRule="auto"/>
              <w:jc w:val="center"/>
              <w:rPr>
                <w:sz w:val="21"/>
                <w:szCs w:val="21"/>
              </w:rPr>
            </w:pPr>
            <w:r>
              <w:rPr>
                <w:rFonts w:hint="eastAsia"/>
                <w:sz w:val="21"/>
                <w:szCs w:val="21"/>
                <w:lang w:val="en-US" w:eastAsia="zh-CN"/>
              </w:rPr>
              <w:t xml:space="preserve">434 </w:t>
            </w:r>
            <w:r>
              <w:rPr>
                <w:rFonts w:hint="eastAsia"/>
                <w:sz w:val="21"/>
                <w:szCs w:val="21"/>
              </w:rPr>
              <w:t>国际商务专业基础</w:t>
            </w:r>
          </w:p>
        </w:tc>
      </w:tr>
      <w:tr>
        <w:tblPrEx>
          <w:tblCellMar>
            <w:top w:w="0" w:type="dxa"/>
            <w:left w:w="108" w:type="dxa"/>
            <w:bottom w:w="0" w:type="dxa"/>
            <w:right w:w="108" w:type="dxa"/>
          </w:tblCellMar>
        </w:tblPrEx>
        <w:trPr>
          <w:trHeight w:val="435" w:hRule="atLeast"/>
        </w:trPr>
        <w:tc>
          <w:tcPr>
            <w:tcW w:w="1080" w:type="dxa"/>
            <w:vAlign w:val="bottom"/>
          </w:tcPr>
          <w:p>
            <w:pPr>
              <w:spacing w:after="65" w:afterLines="20"/>
              <w:ind w:left="-110" w:leftChars="-50" w:right="-110" w:rightChars="-50"/>
              <w:rPr>
                <w:rFonts w:ascii="宋体" w:hAnsi="宋体"/>
                <w:b/>
                <w:szCs w:val="21"/>
              </w:rPr>
            </w:pPr>
            <w:r>
              <w:rPr>
                <w:rFonts w:hint="eastAsia" w:ascii="宋体" w:hAnsi="宋体"/>
                <w:b/>
                <w:szCs w:val="21"/>
              </w:rPr>
              <w:t>适用专业:</w:t>
            </w:r>
          </w:p>
        </w:tc>
        <w:tc>
          <w:tcPr>
            <w:tcW w:w="7380" w:type="dxa"/>
            <w:gridSpan w:val="2"/>
            <w:tcBorders>
              <w:bottom w:val="single" w:color="auto" w:sz="4" w:space="0"/>
            </w:tcBorders>
            <w:vAlign w:val="bottom"/>
          </w:tcPr>
          <w:p>
            <w:pPr>
              <w:spacing w:before="81" w:beforeLines="25" w:after="32" w:afterLines="10"/>
              <w:jc w:val="center"/>
              <w:rPr>
                <w:b/>
                <w:szCs w:val="21"/>
              </w:rPr>
            </w:pPr>
            <w:r>
              <w:rPr>
                <w:rFonts w:hint="default" w:ascii="Times New Roman" w:hAnsi="Times New Roman" w:cs="Times New Roman"/>
                <w:b/>
                <w:sz w:val="21"/>
                <w:szCs w:val="21"/>
              </w:rPr>
              <w:t>025400国际商务</w:t>
            </w:r>
          </w:p>
        </w:tc>
      </w:tr>
    </w:tbl>
    <w:p/>
    <w:p>
      <w:pPr>
        <w:spacing w:before="326" w:beforeLines="100" w:after="32" w:afterLines="10" w:line="288" w:lineRule="auto"/>
        <w:rPr>
          <w:rFonts w:hint="default" w:ascii="Times New Roman" w:hAnsi="Times New Roman" w:cs="Times New Roman"/>
          <w:b/>
          <w:szCs w:val="21"/>
        </w:rPr>
      </w:pPr>
      <w:r>
        <w:rPr>
          <w:rFonts w:hint="default" w:ascii="Times New Roman" w:hAnsi="Times New Roman" w:cs="Times New Roman"/>
        </w:rPr>
        <w:t>一、</w:t>
      </w:r>
      <w:r>
        <w:rPr>
          <w:rFonts w:hint="default" w:ascii="Times New Roman" w:hAnsi="Times New Roman" w:cs="Times New Roman"/>
          <w:b/>
          <w:szCs w:val="21"/>
        </w:rPr>
        <w:t>考试形式与试卷结构</w:t>
      </w:r>
    </w:p>
    <w:p>
      <w:pPr>
        <w:pStyle w:val="11"/>
        <w:spacing w:before="32" w:beforeLines="10" w:after="32" w:afterLines="10" w:line="288" w:lineRule="auto"/>
        <w:ind w:firstLine="422"/>
        <w:rPr>
          <w:rFonts w:hint="default" w:ascii="Times New Roman" w:hAnsi="Times New Roman" w:eastAsia="新宋体" w:cs="Times New Roman"/>
          <w:b/>
          <w:szCs w:val="21"/>
        </w:rPr>
      </w:pPr>
      <w:r>
        <w:rPr>
          <w:rFonts w:hint="default" w:ascii="Times New Roman" w:hAnsi="Times New Roman" w:cs="Times New Roman"/>
          <w:b/>
          <w:szCs w:val="21"/>
        </w:rPr>
        <w:t>（一）试卷满分 及 考试时间</w:t>
      </w:r>
    </w:p>
    <w:p>
      <w:pPr>
        <w:pStyle w:val="11"/>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本试卷满分为150分，考试时间为180分钟。</w:t>
      </w:r>
    </w:p>
    <w:p>
      <w:pPr>
        <w:pStyle w:val="11"/>
        <w:spacing w:before="32" w:beforeLines="10" w:after="32" w:afterLines="10" w:line="288" w:lineRule="auto"/>
        <w:ind w:firstLine="422"/>
        <w:rPr>
          <w:rFonts w:hint="default" w:ascii="Times New Roman" w:hAnsi="Times New Roman" w:eastAsia="新宋体" w:cs="Times New Roman"/>
          <w:b/>
          <w:szCs w:val="21"/>
        </w:rPr>
      </w:pPr>
      <w:r>
        <w:rPr>
          <w:rFonts w:hint="default" w:ascii="Times New Roman" w:hAnsi="Times New Roman" w:eastAsia="新宋体" w:cs="Times New Roman"/>
          <w:b/>
          <w:szCs w:val="21"/>
        </w:rPr>
        <w:t>（二）答题方式</w:t>
      </w:r>
    </w:p>
    <w:p>
      <w:pPr>
        <w:pStyle w:val="11"/>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答题方式为闭卷、笔试。</w:t>
      </w:r>
    </w:p>
    <w:p>
      <w:pPr>
        <w:pStyle w:val="11"/>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试卷由试题和答题纸组成；答案必须写在答题纸（由考点提供）相应的位置上。</w:t>
      </w:r>
    </w:p>
    <w:p>
      <w:pPr>
        <w:pStyle w:val="13"/>
        <w:spacing w:before="32" w:beforeLines="10" w:after="32" w:afterLines="10" w:line="288" w:lineRule="auto"/>
        <w:ind w:firstLine="422"/>
        <w:rPr>
          <w:rFonts w:hint="default" w:ascii="Times New Roman" w:hAnsi="Times New Roman" w:cs="Times New Roman"/>
          <w:b/>
          <w:szCs w:val="21"/>
        </w:rPr>
      </w:pPr>
      <w:r>
        <w:rPr>
          <w:rFonts w:hint="default" w:ascii="Times New Roman" w:hAnsi="Times New Roman" w:eastAsia="新宋体" w:cs="Times New Roman"/>
          <w:b/>
          <w:szCs w:val="21"/>
        </w:rPr>
        <w:t>（三）试卷内容结构（</w:t>
      </w:r>
      <w:r>
        <w:rPr>
          <w:rFonts w:hint="default" w:ascii="Times New Roman" w:hAnsi="Times New Roman" w:cs="Times New Roman"/>
          <w:b/>
          <w:szCs w:val="21"/>
        </w:rPr>
        <w:t>考试的内容比例及题型）</w:t>
      </w:r>
    </w:p>
    <w:p>
      <w:pPr>
        <w:pStyle w:val="13"/>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名词解释题（概念题）：4小题，每小题10分，共40分</w:t>
      </w:r>
    </w:p>
    <w:p>
      <w:pPr>
        <w:pStyle w:val="13"/>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简答题（简述题）：4小题，每小题15分，共60分</w:t>
      </w:r>
    </w:p>
    <w:p>
      <w:pPr>
        <w:pStyle w:val="13"/>
        <w:spacing w:before="32" w:beforeLines="10" w:after="32" w:afterLines="10" w:line="288" w:lineRule="auto"/>
        <w:rPr>
          <w:rFonts w:hint="default" w:ascii="Times New Roman" w:hAnsi="Times New Roman" w:eastAsia="新宋体" w:cs="Times New Roman"/>
          <w:szCs w:val="21"/>
        </w:rPr>
      </w:pPr>
      <w:r>
        <w:rPr>
          <w:rFonts w:hint="default" w:ascii="Times New Roman" w:hAnsi="Times New Roman" w:eastAsia="新宋体" w:cs="Times New Roman"/>
          <w:szCs w:val="21"/>
        </w:rPr>
        <w:t>分析论述题（综合题）：2小题，每小题25分，共50分</w:t>
      </w:r>
    </w:p>
    <w:p>
      <w:pPr>
        <w:rPr>
          <w:rFonts w:hint="default" w:ascii="Times New Roman" w:hAnsi="Times New Roman" w:cs="Times New Roman"/>
          <w:b/>
          <w:szCs w:val="21"/>
        </w:rPr>
      </w:pPr>
      <w:r>
        <w:rPr>
          <w:rFonts w:hint="default" w:ascii="Times New Roman" w:hAnsi="Times New Roman" w:cs="Times New Roman"/>
          <w:b/>
          <w:szCs w:val="21"/>
        </w:rPr>
        <w:t>二、考查目标</w:t>
      </w:r>
    </w:p>
    <w:p>
      <w:pPr>
        <w:ind w:firstLine="420" w:firstLineChars="200"/>
        <w:rPr>
          <w:rFonts w:hint="default" w:ascii="Times New Roman" w:hAnsi="Times New Roman" w:eastAsia="新宋体" w:cs="Times New Roman"/>
          <w:kern w:val="2"/>
          <w:sz w:val="21"/>
          <w:szCs w:val="21"/>
        </w:rPr>
      </w:pPr>
      <w:r>
        <w:rPr>
          <w:rFonts w:hint="default" w:ascii="Times New Roman" w:hAnsi="Times New Roman" w:eastAsia="新宋体" w:cs="Times New Roman"/>
          <w:kern w:val="2"/>
          <w:sz w:val="21"/>
          <w:szCs w:val="21"/>
          <w:lang w:val="en-US" w:eastAsia="zh-CN"/>
        </w:rPr>
        <w:t>考生应该能够</w:t>
      </w:r>
      <w:r>
        <w:rPr>
          <w:rFonts w:hint="default" w:ascii="Times New Roman" w:hAnsi="Times New Roman" w:eastAsia="新宋体" w:cs="Times New Roman"/>
          <w:kern w:val="2"/>
          <w:sz w:val="21"/>
          <w:szCs w:val="21"/>
        </w:rPr>
        <w:t>准确地再认或再现国际</w:t>
      </w:r>
      <w:r>
        <w:rPr>
          <w:rFonts w:hint="default" w:ascii="Times New Roman" w:hAnsi="Times New Roman" w:eastAsia="新宋体" w:cs="Times New Roman"/>
          <w:kern w:val="2"/>
          <w:sz w:val="21"/>
          <w:szCs w:val="21"/>
          <w:lang w:val="en-US" w:eastAsia="zh-CN"/>
        </w:rPr>
        <w:t>商务</w:t>
      </w:r>
      <w:r>
        <w:rPr>
          <w:rFonts w:hint="default" w:ascii="Times New Roman" w:hAnsi="Times New Roman" w:eastAsia="新宋体" w:cs="Times New Roman"/>
          <w:kern w:val="2"/>
          <w:sz w:val="21"/>
          <w:szCs w:val="21"/>
        </w:rPr>
        <w:t>的有关知识</w:t>
      </w:r>
      <w:r>
        <w:rPr>
          <w:rFonts w:hint="eastAsia" w:ascii="Times New Roman" w:hAnsi="Times New Roman" w:eastAsia="新宋体" w:cs="Times New Roman"/>
          <w:kern w:val="2"/>
          <w:sz w:val="21"/>
          <w:szCs w:val="21"/>
          <w:lang w:eastAsia="zh-CN"/>
        </w:rPr>
        <w:t>，</w:t>
      </w:r>
      <w:r>
        <w:rPr>
          <w:rFonts w:hint="default" w:ascii="Times New Roman" w:hAnsi="Times New Roman" w:eastAsia="新宋体" w:cs="Times New Roman"/>
          <w:kern w:val="2"/>
          <w:sz w:val="21"/>
          <w:szCs w:val="21"/>
        </w:rPr>
        <w:t>正确理解和掌握国际</w:t>
      </w:r>
      <w:r>
        <w:rPr>
          <w:rFonts w:hint="default" w:ascii="Times New Roman" w:hAnsi="Times New Roman" w:eastAsia="新宋体" w:cs="Times New Roman"/>
          <w:kern w:val="2"/>
          <w:sz w:val="21"/>
          <w:szCs w:val="21"/>
          <w:lang w:val="en-US" w:eastAsia="zh-CN"/>
        </w:rPr>
        <w:t>商务</w:t>
      </w:r>
      <w:r>
        <w:rPr>
          <w:rFonts w:hint="default" w:ascii="Times New Roman" w:hAnsi="Times New Roman" w:eastAsia="新宋体" w:cs="Times New Roman"/>
          <w:kern w:val="2"/>
          <w:sz w:val="21"/>
          <w:szCs w:val="21"/>
        </w:rPr>
        <w:t>的有关范畴、规律和论断；运用有关原理，解释和论证某种观点，辨明理论是非；准确、恰当地使用国际</w:t>
      </w:r>
      <w:r>
        <w:rPr>
          <w:rFonts w:hint="default" w:ascii="Times New Roman" w:hAnsi="Times New Roman" w:eastAsia="新宋体" w:cs="Times New Roman"/>
          <w:kern w:val="2"/>
          <w:sz w:val="21"/>
          <w:szCs w:val="21"/>
          <w:lang w:val="en-US" w:eastAsia="zh-CN"/>
        </w:rPr>
        <w:t>商务</w:t>
      </w:r>
      <w:r>
        <w:rPr>
          <w:rFonts w:hint="default" w:ascii="Times New Roman" w:hAnsi="Times New Roman" w:eastAsia="新宋体" w:cs="Times New Roman"/>
          <w:kern w:val="2"/>
          <w:sz w:val="21"/>
          <w:szCs w:val="21"/>
        </w:rPr>
        <w:t>专业术语，文字通顺，层次清楚，有论有据，合乎逻辑地表述与分析实际对外经贸问题。</w:t>
      </w:r>
    </w:p>
    <w:p>
      <w:pPr>
        <w:ind w:firstLine="420" w:firstLineChars="200"/>
        <w:rPr>
          <w:rFonts w:hint="default" w:ascii="Times New Roman" w:hAnsi="Times New Roman" w:eastAsia="新宋体" w:cs="Times New Roman"/>
          <w:kern w:val="2"/>
          <w:sz w:val="21"/>
          <w:szCs w:val="21"/>
        </w:rPr>
      </w:pPr>
      <w:r>
        <w:rPr>
          <w:rFonts w:hint="default" w:ascii="Times New Roman" w:hAnsi="Times New Roman" w:eastAsia="新宋体" w:cs="Times New Roman"/>
          <w:kern w:val="2"/>
          <w:sz w:val="21"/>
          <w:szCs w:val="21"/>
        </w:rPr>
        <w:t>考试目的在于测试学生对于国际商务领域核心概念、基本原理及基本分析工具和分析方法的掌握程度，了解学生是否具备初步应用这些基本原理和方法分析国际经济和全球市场运行中的各种现象、解决跨国公司经营中的各种问题的能力，是否具备进一步深造的基本素养和职业潜质。</w:t>
      </w:r>
    </w:p>
    <w:p>
      <w:pPr>
        <w:rPr>
          <w:rFonts w:hint="default" w:ascii="Times New Roman" w:hAnsi="Times New Roman" w:cs="Times New Roman"/>
          <w:b/>
          <w:szCs w:val="21"/>
        </w:rPr>
      </w:pPr>
      <w:r>
        <w:rPr>
          <w:rFonts w:hint="default" w:ascii="Times New Roman" w:hAnsi="Times New Roman" w:cs="Times New Roman"/>
          <w:b/>
          <w:szCs w:val="21"/>
        </w:rPr>
        <w:t>三、考查范围或考试内容概要</w:t>
      </w:r>
    </w:p>
    <w:p>
      <w:pPr>
        <w:pStyle w:val="12"/>
        <w:rPr>
          <w:rFonts w:hint="default" w:ascii="Times New Roman" w:hAnsi="Times New Roman" w:eastAsia="新宋体" w:cs="Times New Roman"/>
          <w:kern w:val="2"/>
          <w:sz w:val="21"/>
          <w:szCs w:val="21"/>
        </w:rPr>
      </w:pPr>
      <w:r>
        <w:rPr>
          <w:rFonts w:hint="default" w:ascii="Times New Roman" w:hAnsi="Times New Roman" w:eastAsia="新宋体" w:cs="Times New Roman"/>
          <w:kern w:val="2"/>
          <w:sz w:val="21"/>
          <w:szCs w:val="21"/>
        </w:rPr>
        <w:t>国际商务的基础内容主要包括国际贸易理论与政策、国际直接投资与跨国</w:t>
      </w:r>
      <w:r>
        <w:rPr>
          <w:rFonts w:hint="default" w:ascii="Times New Roman" w:hAnsi="Times New Roman" w:eastAsia="新宋体" w:cs="Times New Roman"/>
          <w:kern w:val="2"/>
          <w:sz w:val="21"/>
          <w:szCs w:val="21"/>
          <w:lang w:val="en-US" w:eastAsia="zh-CN"/>
        </w:rPr>
        <w:t>公司</w:t>
      </w:r>
      <w:r>
        <w:rPr>
          <w:rFonts w:hint="default" w:ascii="Times New Roman" w:hAnsi="Times New Roman" w:eastAsia="新宋体" w:cs="Times New Roman"/>
          <w:kern w:val="2"/>
          <w:sz w:val="21"/>
          <w:szCs w:val="21"/>
        </w:rPr>
        <w:t>、国际金融</w:t>
      </w:r>
      <w:r>
        <w:rPr>
          <w:rFonts w:hint="default" w:ascii="Times New Roman" w:hAnsi="Times New Roman" w:eastAsia="新宋体" w:cs="Times New Roman"/>
          <w:kern w:val="2"/>
          <w:sz w:val="21"/>
          <w:szCs w:val="21"/>
          <w:lang w:eastAsia="zh-CN"/>
        </w:rPr>
        <w:t>、</w:t>
      </w:r>
      <w:r>
        <w:rPr>
          <w:rFonts w:hint="default" w:ascii="Times New Roman" w:hAnsi="Times New Roman" w:eastAsia="新宋体" w:cs="Times New Roman"/>
          <w:kern w:val="2"/>
          <w:sz w:val="21"/>
          <w:szCs w:val="21"/>
        </w:rPr>
        <w:t>国际商务环境</w:t>
      </w:r>
      <w:r>
        <w:rPr>
          <w:rFonts w:hint="default" w:ascii="Times New Roman" w:hAnsi="Times New Roman" w:eastAsia="新宋体" w:cs="Times New Roman"/>
          <w:kern w:val="2"/>
          <w:sz w:val="21"/>
          <w:szCs w:val="21"/>
          <w:lang w:val="en-US" w:eastAsia="zh-CN"/>
        </w:rPr>
        <w:t>与运营</w:t>
      </w:r>
      <w:r>
        <w:rPr>
          <w:rFonts w:hint="default" w:ascii="Times New Roman" w:hAnsi="Times New Roman" w:eastAsia="新宋体" w:cs="Times New Roman"/>
          <w:kern w:val="2"/>
          <w:sz w:val="21"/>
          <w:szCs w:val="21"/>
        </w:rPr>
        <w:t>四个部分。</w:t>
      </w:r>
    </w:p>
    <w:p>
      <w:pPr>
        <w:pStyle w:val="12"/>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（一）国际贸易理论与政策</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1.国际贸易理论：绝对优势与比较优势理论、要素禀赋理论、贸易保护理论、国际贸易新理论、国家竞争优势</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2.国际贸易政策与壁垒：关税措施、非关税壁垒、国际贸易摩擦、国际贸易中的知识产权保护与环境保护政策</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3.区域经济一体化与多边贸易体制：经济全球化与世界贸易组织、欧洲一体化实践、其他区域自由贸易安排、中国的区域经济合作实践</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（二）国际直接投资与跨国公司</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1.国际直接投资与跨国公司理论：垄断优势理论、内部化理论、国际生产折衷理论、对外投资其他理论，跨国公司与国际直接投资理论，中国式跨国公司的理论与实践</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2.对外直接投资的母国与东道国效应：对外直接投资与母国利益和代价、对外直接投资与东道国效应、对外直接投资中的政府行为、国际企业与政府的议价能力</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（三）国际金融</w:t>
      </w:r>
    </w:p>
    <w:p>
      <w:pPr>
        <w:pStyle w:val="12"/>
        <w:rPr>
          <w:rFonts w:hint="eastAsia" w:ascii="Times New Roman" w:hAnsi="Times New Roman" w:eastAsia="新宋体" w:cs="Times New Roman"/>
          <w:sz w:val="21"/>
          <w:szCs w:val="21"/>
          <w:lang w:eastAsia="zh-CN"/>
        </w:rPr>
      </w:pPr>
      <w:r>
        <w:rPr>
          <w:rFonts w:hint="default" w:ascii="Times New Roman" w:hAnsi="Times New Roman" w:eastAsia="新宋体" w:cs="Times New Roman"/>
          <w:sz w:val="21"/>
          <w:szCs w:val="21"/>
        </w:rPr>
        <w:t>1.国际货币体系与汇率制度：金本位制度、布雷顿森林体系、浮动汇率制度、国际货币体系及其改革、人民币汇率改革</w:t>
      </w:r>
      <w:r>
        <w:rPr>
          <w:rFonts w:hint="eastAsia" w:ascii="Times New Roman" w:hAnsi="Times New Roman" w:eastAsia="新宋体" w:cs="Times New Roman"/>
          <w:sz w:val="21"/>
          <w:szCs w:val="21"/>
          <w:lang w:eastAsia="zh-CN"/>
        </w:rPr>
        <w:t>。</w:t>
      </w:r>
    </w:p>
    <w:p>
      <w:pPr>
        <w:pStyle w:val="12"/>
        <w:rPr>
          <w:rFonts w:hint="eastAsia" w:ascii="Times New Roman" w:hAnsi="Times New Roman" w:eastAsia="新宋体" w:cs="Times New Roman"/>
          <w:sz w:val="21"/>
          <w:szCs w:val="21"/>
          <w:lang w:eastAsia="zh-CN"/>
        </w:rPr>
      </w:pPr>
      <w:r>
        <w:rPr>
          <w:rFonts w:hint="default" w:ascii="Times New Roman" w:hAnsi="Times New Roman" w:eastAsia="新宋体" w:cs="Times New Roman"/>
          <w:sz w:val="21"/>
          <w:szCs w:val="21"/>
        </w:rPr>
        <w:t>2.外汇市场、外汇业务与风险、外汇市场与外汇业务、汇率决定、外汇风险</w:t>
      </w:r>
      <w:r>
        <w:rPr>
          <w:rFonts w:hint="eastAsia"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3.国际金融市场：国际金融市场概述、货币市场、债权市场、股权市场</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（四）国际商务环境与运营</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1.国际商务环境：经济环境、政治环境、法律环境、社会文化环境、国际商务环境评估</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2.国际商务进入策略：国际经营的选址决策，国际经营的时机决策，出口、交钥匙工程、技术授权、特许经营、对外直接投资，战略联盟，国际经营方式的选择</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sz w:val="21"/>
          <w:szCs w:val="21"/>
          <w:lang w:eastAsia="zh-CN"/>
        </w:rPr>
      </w:pPr>
      <w:r>
        <w:rPr>
          <w:rFonts w:hint="default" w:ascii="Times New Roman" w:hAnsi="Times New Roman" w:eastAsia="新宋体" w:cs="Times New Roman"/>
          <w:sz w:val="21"/>
          <w:szCs w:val="21"/>
        </w:rPr>
        <w:t>3.跨国公司战略与组织：企业利用全球扩张提高盈利能力以及利润增长的方式，战略选择与战略演化，组织结构的基本类型，国际商务组织结构的选择，国际企业的控制、组织文化，战略与组织构架</w:t>
      </w:r>
      <w:r>
        <w:rPr>
          <w:rFonts w:hint="default" w:ascii="Times New Roman" w:hAnsi="Times New Roman" w:eastAsia="新宋体" w:cs="Times New Roman"/>
          <w:sz w:val="21"/>
          <w:szCs w:val="21"/>
          <w:lang w:eastAsia="zh-CN"/>
        </w:rPr>
        <w:t>。</w:t>
      </w:r>
    </w:p>
    <w:p>
      <w:pPr>
        <w:pStyle w:val="12"/>
        <w:rPr>
          <w:rFonts w:hint="default" w:ascii="Times New Roman" w:hAnsi="Times New Roman" w:eastAsia="新宋体" w:cs="Times New Roman"/>
          <w:kern w:val="2"/>
          <w:sz w:val="21"/>
          <w:szCs w:val="21"/>
        </w:rPr>
      </w:pPr>
      <w:r>
        <w:rPr>
          <w:rFonts w:hint="default" w:ascii="Times New Roman" w:hAnsi="Times New Roman" w:eastAsia="新宋体" w:cs="Times New Roman"/>
          <w:sz w:val="21"/>
          <w:szCs w:val="21"/>
        </w:rPr>
        <w:t>4.国际经营管理：国际市场营销管理，国际财务管理，国际人力资源管理</w:t>
      </w:r>
      <w:r>
        <w:rPr>
          <w:rFonts w:hint="default" w:ascii="Times New Roman" w:hAnsi="Times New Roman" w:eastAsia="新宋体" w:cs="Times New Roman"/>
          <w:sz w:val="21"/>
          <w:szCs w:val="21"/>
          <w:lang w:eastAsia="zh-CN"/>
        </w:rPr>
        <w:t>。</w:t>
      </w:r>
    </w:p>
    <w:p>
      <w:pPr>
        <w:rPr>
          <w:rFonts w:hint="default" w:ascii="Times New Roman" w:hAnsi="Times New Roman" w:cs="Times New Roman"/>
          <w:b/>
          <w:sz w:val="21"/>
          <w:szCs w:val="21"/>
        </w:rPr>
      </w:pPr>
    </w:p>
    <w:p>
      <w:pPr>
        <w:rPr>
          <w:rFonts w:hint="default" w:ascii="Times New Roman" w:hAnsi="Times New Roman" w:cs="Times New Roman"/>
          <w:sz w:val="21"/>
          <w:szCs w:val="21"/>
        </w:rPr>
      </w:pPr>
      <w:r>
        <w:rPr>
          <w:rFonts w:hint="default" w:ascii="Times New Roman" w:hAnsi="Times New Roman" w:cs="Times New Roman"/>
          <w:b/>
          <w:sz w:val="21"/>
          <w:szCs w:val="21"/>
        </w:rPr>
        <w:t>参考教材或主要参考书</w:t>
      </w:r>
      <w:r>
        <w:rPr>
          <w:rFonts w:hint="default" w:ascii="Times New Roman" w:hAnsi="Times New Roman" w:cs="Times New Roman"/>
          <w:sz w:val="21"/>
          <w:szCs w:val="21"/>
        </w:rPr>
        <w:t>：</w:t>
      </w:r>
    </w:p>
    <w:p>
      <w:pPr>
        <w:pStyle w:val="12"/>
        <w:ind w:firstLine="440"/>
        <w:rPr>
          <w:rFonts w:hint="default" w:ascii="Times New Roman" w:hAnsi="Times New Roman" w:eastAsia="新宋体" w:cs="Times New Roman"/>
          <w:kern w:val="2"/>
          <w:sz w:val="21"/>
          <w:szCs w:val="21"/>
          <w:lang w:val="en-US" w:eastAsia="zh-CN" w:bidi="ar-SA"/>
        </w:rPr>
      </w:pPr>
      <w:r>
        <w:rPr>
          <w:rFonts w:hint="default" w:ascii="Times New Roman" w:hAnsi="Times New Roman" w:eastAsia="新宋体" w:cs="Times New Roman"/>
          <w:kern w:val="2"/>
          <w:sz w:val="21"/>
          <w:szCs w:val="21"/>
          <w:lang w:val="en-US" w:eastAsia="zh-CN" w:bidi="ar-SA"/>
        </w:rPr>
        <w:t>1.《国际商务》(第 11 版) (美) 查尔斯·希尔(Charles w.L.Hl1)著，郭羽诞译 ，中国人民大学出版社 2019 年版；</w:t>
      </w:r>
    </w:p>
    <w:p>
      <w:pPr>
        <w:pStyle w:val="12"/>
        <w:ind w:firstLine="440"/>
        <w:rPr>
          <w:rFonts w:hint="default" w:ascii="Times New Roman" w:hAnsi="Times New Roman" w:eastAsia="新宋体" w:cs="Times New Roman"/>
          <w:kern w:val="2"/>
          <w:sz w:val="21"/>
          <w:szCs w:val="21"/>
          <w:lang w:val="en-US" w:eastAsia="zh-CN" w:bidi="ar-SA"/>
        </w:rPr>
      </w:pPr>
      <w:r>
        <w:rPr>
          <w:rFonts w:hint="default" w:ascii="Times New Roman" w:hAnsi="Times New Roman" w:eastAsia="新宋体" w:cs="Times New Roman"/>
          <w:kern w:val="2"/>
          <w:sz w:val="21"/>
          <w:szCs w:val="21"/>
          <w:lang w:val="en-US" w:eastAsia="zh-CN" w:bidi="ar-SA"/>
        </w:rPr>
        <w:t>2.《国际商务》（第五版），王炜瀚，中国人民大学出版社，2023年5月版。</w:t>
      </w:r>
    </w:p>
    <w:p>
      <w:pPr>
        <w:rPr>
          <w:rFonts w:hint="default" w:ascii="Times New Roman" w:hAnsi="Times New Roman" w:cs="Times New Roman"/>
          <w:b/>
          <w:szCs w:val="21"/>
        </w:rPr>
      </w:pPr>
      <w:r>
        <w:rPr>
          <w:rFonts w:hint="default" w:ascii="Times New Roman" w:hAnsi="Times New Roman" w:cs="Times New Roman"/>
          <w:b/>
          <w:szCs w:val="21"/>
        </w:rPr>
        <w:t>四、样卷</w:t>
      </w:r>
    </w:p>
    <w:p>
      <w:pP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无</w:t>
      </w:r>
    </w:p>
    <w:sectPr>
      <w:pgSz w:w="11906" w:h="16838"/>
      <w:pgMar w:top="1440" w:right="1797" w:bottom="1440" w:left="1797" w:header="851" w:footer="992" w:gutter="0"/>
      <w:cols w:space="708"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720"/>
  <w:drawingGridHorizontalSpacing w:val="120"/>
  <w:drawingGridVerticalSpacing w:val="163"/>
  <w:displayHorizontalDrawingGridEvery w:val="0"/>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4MTYwZDAyM2M2YjhlODViMzM4NDQ5YWM3YzhlY2YifQ=="/>
  </w:docVars>
  <w:rsids>
    <w:rsidRoot w:val="004E50F4"/>
    <w:rsid w:val="000217A0"/>
    <w:rsid w:val="00085599"/>
    <w:rsid w:val="000A3F93"/>
    <w:rsid w:val="001A21E3"/>
    <w:rsid w:val="001B76A7"/>
    <w:rsid w:val="002460F0"/>
    <w:rsid w:val="002838F2"/>
    <w:rsid w:val="00296624"/>
    <w:rsid w:val="002F50AB"/>
    <w:rsid w:val="0035557B"/>
    <w:rsid w:val="0039230A"/>
    <w:rsid w:val="003C6F62"/>
    <w:rsid w:val="003D0507"/>
    <w:rsid w:val="00402A0E"/>
    <w:rsid w:val="004139B0"/>
    <w:rsid w:val="00425A24"/>
    <w:rsid w:val="004E50F4"/>
    <w:rsid w:val="004E56FF"/>
    <w:rsid w:val="0055046D"/>
    <w:rsid w:val="005B0EC8"/>
    <w:rsid w:val="005D6D4D"/>
    <w:rsid w:val="00601653"/>
    <w:rsid w:val="00602E1D"/>
    <w:rsid w:val="00606C3D"/>
    <w:rsid w:val="006244AD"/>
    <w:rsid w:val="00666FFA"/>
    <w:rsid w:val="006D5032"/>
    <w:rsid w:val="006D7DDD"/>
    <w:rsid w:val="00713BF3"/>
    <w:rsid w:val="00816383"/>
    <w:rsid w:val="008A4B1A"/>
    <w:rsid w:val="008B5D69"/>
    <w:rsid w:val="008E56C9"/>
    <w:rsid w:val="00912F6B"/>
    <w:rsid w:val="00AE551D"/>
    <w:rsid w:val="00B407E2"/>
    <w:rsid w:val="00B5746A"/>
    <w:rsid w:val="00B733FE"/>
    <w:rsid w:val="00BA563C"/>
    <w:rsid w:val="00BD03F9"/>
    <w:rsid w:val="00C3497D"/>
    <w:rsid w:val="00C75BCD"/>
    <w:rsid w:val="00CB4953"/>
    <w:rsid w:val="00DB0838"/>
    <w:rsid w:val="00F7557D"/>
    <w:rsid w:val="00F93E4E"/>
    <w:rsid w:val="1BC94BCA"/>
    <w:rsid w:val="44894B1A"/>
    <w:rsid w:val="50FA223A"/>
    <w:rsid w:val="576E1C3F"/>
    <w:rsid w:val="63377CC9"/>
    <w:rsid w:val="721D6FAF"/>
    <w:rsid w:val="7E11248C"/>
    <w:rsid w:val="7EE51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14"/>
    <w:qFormat/>
    <w:uiPriority w:val="0"/>
    <w:pPr>
      <w:keepNext/>
      <w:keepLines/>
      <w:widowControl w:val="0"/>
      <w:spacing w:before="340" w:after="330" w:line="578" w:lineRule="auto"/>
      <w:jc w:val="both"/>
      <w:outlineLvl w:val="0"/>
    </w:pPr>
    <w:rPr>
      <w:rFonts w:ascii="Times New Roman" w:hAnsi="Times New Roman" w:eastAsia="宋体"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unhideWhenUsed/>
    <w:qFormat/>
    <w:uiPriority w:val="0"/>
    <w:pPr>
      <w:spacing w:after="0" w:line="240" w:lineRule="auto"/>
    </w:pPr>
    <w:rPr>
      <w:sz w:val="18"/>
      <w:szCs w:val="18"/>
    </w:rPr>
  </w:style>
  <w:style w:type="paragraph" w:styleId="4">
    <w:name w:val="footer"/>
    <w:basedOn w:val="1"/>
    <w:link w:val="9"/>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qFormat/>
    <w:uiPriority w:val="0"/>
    <w:rPr>
      <w:sz w:val="18"/>
      <w:szCs w:val="18"/>
    </w:rPr>
  </w:style>
  <w:style w:type="paragraph" w:customStyle="1" w:styleId="11">
    <w:name w:val="_Style 10"/>
    <w:basedOn w:val="1"/>
    <w:next w:val="12"/>
    <w:qFormat/>
    <w:uiPriority w:val="0"/>
    <w:pPr>
      <w:widowControl w:val="0"/>
      <w:spacing w:after="0" w:line="240" w:lineRule="auto"/>
      <w:ind w:firstLine="420" w:firstLineChars="200"/>
      <w:jc w:val="both"/>
    </w:pPr>
    <w:rPr>
      <w:rFonts w:ascii="Times New Roman" w:hAnsi="Times New Roman" w:eastAsia="宋体" w:cs="Times New Roman"/>
      <w:kern w:val="2"/>
      <w:sz w:val="21"/>
      <w:szCs w:val="24"/>
    </w:rPr>
  </w:style>
  <w:style w:type="paragraph" w:styleId="12">
    <w:name w:val="List Paragraph"/>
    <w:basedOn w:val="1"/>
    <w:qFormat/>
    <w:uiPriority w:val="34"/>
    <w:pPr>
      <w:ind w:firstLine="420" w:firstLineChars="200"/>
    </w:pPr>
  </w:style>
  <w:style w:type="paragraph" w:customStyle="1" w:styleId="13">
    <w:name w:val="_Style 12"/>
    <w:basedOn w:val="1"/>
    <w:next w:val="12"/>
    <w:qFormat/>
    <w:uiPriority w:val="0"/>
    <w:pPr>
      <w:widowControl w:val="0"/>
      <w:spacing w:after="0" w:line="240" w:lineRule="auto"/>
      <w:ind w:firstLine="420" w:firstLineChars="200"/>
      <w:jc w:val="both"/>
    </w:pPr>
    <w:rPr>
      <w:rFonts w:ascii="Times New Roman" w:hAnsi="Times New Roman" w:eastAsia="宋体" w:cs="Times New Roman"/>
      <w:kern w:val="2"/>
      <w:sz w:val="21"/>
      <w:szCs w:val="24"/>
    </w:rPr>
  </w:style>
  <w:style w:type="character" w:customStyle="1" w:styleId="14">
    <w:name w:val="标题 1 字符"/>
    <w:basedOn w:val="7"/>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1344</Words>
  <Characters>1396</Characters>
  <Lines>6</Lines>
  <Paragraphs>1</Paragraphs>
  <TotalTime>10</TotalTime>
  <ScaleCrop>false</ScaleCrop>
  <LinksUpToDate>false</LinksUpToDate>
  <CharactersWithSpaces>1410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2019-09-02T01:46:00Z</dcterms:created>
  <dc:creator>姜 恒昆</dc:creator>
  <cp:lastModifiedBy>许傲雪</cp:lastModifiedBy>
  <dcterms:modified xsi:type="dcterms:W3CDTF">2024-09-01T02:41:17Z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475778C6B6144CBCAD3890064C7C3683_13</vt:lpwstr>
  </property>
</Properties>
</file>