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11"/>
          <w:rFonts w:ascii="方正小标宋简体" w:hAnsi="仿宋" w:eastAsia="方正小标宋简体"/>
          <w:sz w:val="44"/>
          <w:szCs w:val="44"/>
        </w:rPr>
      </w:pPr>
      <w:r>
        <w:rPr>
          <w:rStyle w:val="11"/>
          <w:rFonts w:hint="eastAsia" w:ascii="方正小标宋简体" w:hAnsi="仿宋" w:eastAsia="方正小标宋简体" w:cs="方正小标宋简体"/>
          <w:sz w:val="44"/>
          <w:szCs w:val="44"/>
        </w:rPr>
        <w:t>安徽省无为第一中学</w:t>
      </w:r>
      <w:r>
        <w:rPr>
          <w:rStyle w:val="11"/>
          <w:rFonts w:ascii="方正小标宋简体" w:hAnsi="仿宋" w:eastAsia="方正小标宋简体" w:cs="方正小标宋简体"/>
          <w:sz w:val="44"/>
          <w:szCs w:val="44"/>
        </w:rPr>
        <w:t>2024</w:t>
      </w:r>
      <w:r>
        <w:rPr>
          <w:rStyle w:val="11"/>
          <w:rFonts w:hint="eastAsia" w:ascii="方正小标宋简体" w:hAnsi="仿宋" w:eastAsia="方正小标宋简体" w:cs="方正小标宋简体"/>
          <w:sz w:val="44"/>
          <w:szCs w:val="44"/>
        </w:rPr>
        <w:t>年自主招生简章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根据芜湖市教育局相关文件精神，我校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年自主招生报名录取工作具体安排如下：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一、招生对象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参加无为市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年中考的优秀应届初中毕业生，且符合省示范高中录取条件。</w:t>
      </w:r>
    </w:p>
    <w:p>
      <w:pPr>
        <w:numPr>
          <w:ilvl w:val="0"/>
          <w:numId w:val="1"/>
        </w:numPr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招生人数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20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人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三、报名方式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（一）报名日期：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9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-11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日下午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点（暂定）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（二）报名地点：一中办公楼二楼教务室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（三）报名办法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1.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从无为一中教导处领取，或从安徽省无为第一中学微信公众号下载报名表，报名表上必须张贴考生近期免冠小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寸照片并加盖学校公章。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2.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由考生所在中心校或就读学校统一报名（不受理个人报名）。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3.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报名时，请携带与报名表上所贴同底版照片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张（背后书写姓名）。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4.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资格审核由考生所在学校负责。各校要严格掌握报名条件，认真审查考试资格，杜绝弄虚作假现象。通过伪造证件、证明、档案及其他材料获得考试资格，应当认定相关考生实施了考试作弊行为，我校将严格依据《国家教育考试违规处理办法》（教育部令第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33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号）文件精神，报请上级有关部门对作弊考生及相关责任人严肃处理。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5.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请于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日至无为一中教务室领取自主招生准考证。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四、组织考试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考试科目：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人文素养（语文、英语）和科学素养（数学、物理、化学）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各科分值：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语文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100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分、英语（不含听力）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100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分、数学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150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分、物理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120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分、化学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80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分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考试日期：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6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18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日（具体安排见准考证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四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考试地点：无为一中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五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答题要求：自主招生考试实行网上阅卷，要求考生使用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2B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铅笔规范填涂答题卡。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五、录取</w:t>
      </w:r>
    </w:p>
    <w:p>
      <w:pPr>
        <w:spacing w:line="360" w:lineRule="auto"/>
        <w:ind w:firstLine="640" w:firstLineChars="200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)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步骤一：根据自主招生考试五门学科成绩总分，按招生计划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：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1.5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的比例（小数点后面根据四舍五入计算）由高到低进入录取范围，（最后一名如有并列，按数学、物理、化学三科成绩总分依次由高到低进行确定；若再出现并列，则按五科总分由高到低确定）。</w:t>
      </w:r>
    </w:p>
    <w:p>
      <w:pPr>
        <w:spacing w:line="360" w:lineRule="auto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宋体" w:eastAsia="仿宋_GB2312" w:cs="仿宋_GB2312"/>
          <w:sz w:val="24"/>
          <w:szCs w:val="24"/>
        </w:rPr>
        <w:t xml:space="preserve">     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步骤二：无为一中将对进入录取范围的学生按照芜湖市教育局核准的指标数，依据自主招生考试数学、物理、化学三科总分由高到低择优录取（最后一名如有并列，则按五科总成绩由高到低依次录取；若再出现并列，则按数学单科成绩由高到低依次录取）。正式录取的学生，报芜湖市教育招生部门审核备案。</w:t>
      </w:r>
    </w:p>
    <w:p>
      <w:pPr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)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进入预录取名单的考生，我校将通过查阅相关报名资料、电子摄像，比对照片等方式进行身份甄别。</w:t>
      </w:r>
    </w:p>
    <w:p>
      <w:pPr>
        <w:ind w:firstLine="320" w:firstLineChars="1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（四）被录取学生名单报芜湖市教育局批准后由我校发出录取通知书。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六、学生待遇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凡我校自主招生录取的学生，同时中考成绩达到我校统招线的，直接进入实验班；未达我校统招线的学生，依据该生中考成绩进行编班。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凡我校自主招生录取的学生，学校将为他们组织暑期夏令营活动。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学校还将通过健全的奖（助）学金机制对自主招生学生的学习与生活提供资助。</w:t>
      </w:r>
    </w:p>
    <w:p>
      <w:pPr>
        <w:jc w:val="left"/>
        <w:rPr>
          <w:rStyle w:val="11"/>
          <w:rFonts w:ascii="仿宋_GB2312" w:hAnsi="仿宋" w:eastAsia="仿宋_GB2312"/>
          <w:b/>
          <w:bCs/>
          <w:sz w:val="32"/>
          <w:szCs w:val="32"/>
        </w:rPr>
      </w:pPr>
      <w:r>
        <w:rPr>
          <w:rStyle w:val="11"/>
          <w:rFonts w:hint="eastAsia" w:ascii="仿宋_GB2312" w:hAnsi="仿宋" w:eastAsia="仿宋_GB2312" w:cs="仿宋_GB2312"/>
          <w:b/>
          <w:bCs/>
          <w:sz w:val="32"/>
          <w:szCs w:val="32"/>
        </w:rPr>
        <w:t>七、其他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一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本招生办法解释权在无为一中。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二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有关无为一中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年自主招生简章及最新要求发布于安徽省无为第一中学微信公众号。</w:t>
      </w:r>
    </w:p>
    <w:p>
      <w:pPr>
        <w:ind w:firstLine="640" w:firstLineChars="200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>(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>)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咨询电话：</w:t>
      </w:r>
    </w:p>
    <w:p>
      <w:pPr>
        <w:ind w:left="559" w:leftChars="266"/>
        <w:jc w:val="left"/>
        <w:rPr>
          <w:rStyle w:val="11"/>
          <w:rFonts w:ascii="仿宋_GB2312" w:hAnsi="仿宋" w:eastAsia="仿宋_GB2312"/>
          <w:sz w:val="28"/>
          <w:szCs w:val="28"/>
        </w:rPr>
      </w:pPr>
      <w:r>
        <w:rPr>
          <w:rStyle w:val="11"/>
          <w:rFonts w:ascii="仿宋_GB2312" w:hAnsi="仿宋" w:eastAsia="仿宋_GB2312" w:cs="仿宋_GB2312"/>
          <w:sz w:val="28"/>
          <w:szCs w:val="28"/>
        </w:rPr>
        <w:t xml:space="preserve">6336241 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13637296977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 xml:space="preserve">   6341743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13966334006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</w:p>
    <w:p>
      <w:pPr>
        <w:ind w:left="559" w:leftChars="266"/>
        <w:jc w:val="lef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28"/>
          <w:szCs w:val="28"/>
        </w:rPr>
        <w:t xml:space="preserve">6322556 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（手机：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13500513040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6331170</w:t>
      </w: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(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手机：</w:t>
      </w:r>
      <w:r>
        <w:rPr>
          <w:rStyle w:val="11"/>
          <w:rFonts w:ascii="仿宋_GB2312" w:hAnsi="仿宋" w:eastAsia="仿宋_GB2312" w:cs="仿宋_GB2312"/>
          <w:sz w:val="28"/>
          <w:szCs w:val="28"/>
        </w:rPr>
        <w:t>13965693858</w:t>
      </w:r>
      <w:r>
        <w:rPr>
          <w:rStyle w:val="11"/>
          <w:rFonts w:hint="eastAsia" w:ascii="仿宋_GB2312" w:hAnsi="仿宋" w:eastAsia="仿宋_GB2312" w:cs="仿宋_GB2312"/>
          <w:sz w:val="28"/>
          <w:szCs w:val="28"/>
        </w:rPr>
        <w:t>）</w:t>
      </w:r>
    </w:p>
    <w:p>
      <w:pPr>
        <w:ind w:left="31680" w:hanging="4960" w:hangingChars="1550"/>
        <w:jc w:val="right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</w:t>
      </w:r>
    </w:p>
    <w:p>
      <w:pPr>
        <w:ind w:left="31680" w:right="640" w:hanging="4960" w:hangingChars="1550"/>
        <w:jc w:val="center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安徽省无为第一中学</w:t>
      </w:r>
    </w:p>
    <w:p>
      <w:pPr>
        <w:ind w:left="31680" w:right="640" w:hanging="4960" w:hangingChars="1550"/>
        <w:jc w:val="center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 2024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Style w:val="11"/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Style w:val="11"/>
          <w:rFonts w:hint="eastAsia" w:ascii="仿宋_GB2312" w:hAnsi="仿宋" w:eastAsia="仿宋_GB2312" w:cs="仿宋_GB2312"/>
          <w:sz w:val="32"/>
          <w:szCs w:val="32"/>
        </w:rPr>
        <w:t>月</w:t>
      </w:r>
      <w:bookmarkStart w:id="0" w:name="_GoBack"/>
      <w:bookmarkEnd w:id="0"/>
    </w:p>
    <w:p>
      <w:pPr>
        <w:rPr>
          <w:rStyle w:val="11"/>
          <w:sz w:val="30"/>
          <w:szCs w:val="30"/>
        </w:rPr>
      </w:pPr>
    </w:p>
    <w:p>
      <w:pPr>
        <w:ind w:right="640"/>
        <w:rPr>
          <w:rStyle w:val="11"/>
          <w:rFonts w:ascii="仿宋_GB2312" w:hAnsi="仿宋" w:eastAsia="仿宋_GB2312"/>
          <w:sz w:val="32"/>
          <w:szCs w:val="32"/>
        </w:rPr>
      </w:pPr>
      <w:r>
        <w:rPr>
          <w:rStyle w:val="11"/>
          <w:rFonts w:ascii="仿宋_GB2312" w:hAnsi="仿宋" w:eastAsia="仿宋_GB2312" w:cs="仿宋_GB2312"/>
          <w:sz w:val="32"/>
          <w:szCs w:val="32"/>
        </w:rPr>
        <w:t xml:space="preserve">                                                                                                      </w:t>
      </w:r>
    </w:p>
    <w:sectPr>
      <w:pgSz w:w="11906" w:h="16838"/>
      <w:pgMar w:top="850" w:right="850" w:bottom="850" w:left="850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87D77"/>
    <w:multiLevelType w:val="singleLevel"/>
    <w:tmpl w:val="61787D77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8"/>
  <w:doNotUseMarginsForDrawingGridOrigin w:val="1"/>
  <w:drawingGridHorizontalOrigin w:val="1800"/>
  <w:drawingGridVerticalOrigin w:val="144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hM2MwYzNmYzc2MTZmM2NjMDhjNjJhYjMwODBkMDcifQ=="/>
  </w:docVars>
  <w:rsids>
    <w:rsidRoot w:val="00FA60AA"/>
    <w:rsid w:val="00046FA8"/>
    <w:rsid w:val="0006399F"/>
    <w:rsid w:val="00111C04"/>
    <w:rsid w:val="001F372F"/>
    <w:rsid w:val="002206DB"/>
    <w:rsid w:val="002B2021"/>
    <w:rsid w:val="003B1435"/>
    <w:rsid w:val="003B4381"/>
    <w:rsid w:val="003E7654"/>
    <w:rsid w:val="00411E27"/>
    <w:rsid w:val="00436CA8"/>
    <w:rsid w:val="004C4C93"/>
    <w:rsid w:val="00500130"/>
    <w:rsid w:val="00522B48"/>
    <w:rsid w:val="005420A6"/>
    <w:rsid w:val="00653A2B"/>
    <w:rsid w:val="007B5EE9"/>
    <w:rsid w:val="00817785"/>
    <w:rsid w:val="00842BFC"/>
    <w:rsid w:val="00987431"/>
    <w:rsid w:val="00A4438E"/>
    <w:rsid w:val="00AA75B0"/>
    <w:rsid w:val="00AC6FE9"/>
    <w:rsid w:val="00B8193F"/>
    <w:rsid w:val="00BC1A57"/>
    <w:rsid w:val="00BD7AE9"/>
    <w:rsid w:val="00C75EE9"/>
    <w:rsid w:val="00C82E61"/>
    <w:rsid w:val="00E17EB4"/>
    <w:rsid w:val="00E32ACD"/>
    <w:rsid w:val="00E76FFC"/>
    <w:rsid w:val="00E95017"/>
    <w:rsid w:val="00EA36FA"/>
    <w:rsid w:val="00ED73BC"/>
    <w:rsid w:val="00F055DD"/>
    <w:rsid w:val="00F1312D"/>
    <w:rsid w:val="00F27F72"/>
    <w:rsid w:val="00F551C6"/>
    <w:rsid w:val="00FA60AA"/>
    <w:rsid w:val="03073390"/>
    <w:rsid w:val="0A3551FC"/>
    <w:rsid w:val="0A447A6E"/>
    <w:rsid w:val="0A691B07"/>
    <w:rsid w:val="0B2640EA"/>
    <w:rsid w:val="0D5421D2"/>
    <w:rsid w:val="0E111E96"/>
    <w:rsid w:val="12AB56A1"/>
    <w:rsid w:val="13CD7FF5"/>
    <w:rsid w:val="13F432D6"/>
    <w:rsid w:val="172938E2"/>
    <w:rsid w:val="19980228"/>
    <w:rsid w:val="1A0158F4"/>
    <w:rsid w:val="1AFE7D3C"/>
    <w:rsid w:val="1B736789"/>
    <w:rsid w:val="1ED17120"/>
    <w:rsid w:val="21B36C85"/>
    <w:rsid w:val="23AE7567"/>
    <w:rsid w:val="26F57085"/>
    <w:rsid w:val="27234349"/>
    <w:rsid w:val="2AA2448C"/>
    <w:rsid w:val="2C1345FA"/>
    <w:rsid w:val="30F71EDA"/>
    <w:rsid w:val="31E21694"/>
    <w:rsid w:val="36D726C6"/>
    <w:rsid w:val="36FD5593"/>
    <w:rsid w:val="370A4DB6"/>
    <w:rsid w:val="37D42293"/>
    <w:rsid w:val="386F5ABA"/>
    <w:rsid w:val="3B056F8A"/>
    <w:rsid w:val="3B0F2D77"/>
    <w:rsid w:val="3C081E0E"/>
    <w:rsid w:val="3F0C6DDD"/>
    <w:rsid w:val="3F0F0DC4"/>
    <w:rsid w:val="40337F64"/>
    <w:rsid w:val="40A26C8A"/>
    <w:rsid w:val="436314FD"/>
    <w:rsid w:val="49F4524D"/>
    <w:rsid w:val="5088123D"/>
    <w:rsid w:val="51E70A16"/>
    <w:rsid w:val="541F77F7"/>
    <w:rsid w:val="54B24092"/>
    <w:rsid w:val="55830000"/>
    <w:rsid w:val="56071508"/>
    <w:rsid w:val="57A112E7"/>
    <w:rsid w:val="58122797"/>
    <w:rsid w:val="5A3606CF"/>
    <w:rsid w:val="5D5636F2"/>
    <w:rsid w:val="5F4C63C0"/>
    <w:rsid w:val="62E66C51"/>
    <w:rsid w:val="64D4644C"/>
    <w:rsid w:val="66506EDB"/>
    <w:rsid w:val="6C42392B"/>
    <w:rsid w:val="6D224127"/>
    <w:rsid w:val="6F8C093B"/>
    <w:rsid w:val="6FF23940"/>
    <w:rsid w:val="731879AF"/>
    <w:rsid w:val="76BA76A0"/>
    <w:rsid w:val="77C9104E"/>
    <w:rsid w:val="7ADD693B"/>
    <w:rsid w:val="7C06069C"/>
    <w:rsid w:val="7DF73E6C"/>
    <w:rsid w:val="7FD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0" w:semiHidden="0" w:name="Body Text" w:locked="1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autoRedefine/>
    <w:uiPriority w:val="99"/>
    <w:pPr>
      <w:ind w:left="100" w:leftChars="2500"/>
    </w:pPr>
  </w:style>
  <w:style w:type="paragraph" w:styleId="3">
    <w:name w:val="footer"/>
    <w:basedOn w:val="1"/>
    <w:link w:val="9"/>
    <w:autoRedefine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Date Char"/>
    <w:basedOn w:val="7"/>
    <w:link w:val="2"/>
    <w:locked/>
    <w:uiPriority w:val="99"/>
    <w:rPr>
      <w:kern w:val="2"/>
      <w:sz w:val="21"/>
      <w:szCs w:val="21"/>
    </w:rPr>
  </w:style>
  <w:style w:type="character" w:customStyle="1" w:styleId="9">
    <w:name w:val="Footer Char"/>
    <w:basedOn w:val="7"/>
    <w:link w:val="3"/>
    <w:locked/>
    <w:uiPriority w:val="99"/>
    <w:rPr>
      <w:kern w:val="2"/>
      <w:sz w:val="18"/>
      <w:szCs w:val="18"/>
    </w:rPr>
  </w:style>
  <w:style w:type="character" w:customStyle="1" w:styleId="10">
    <w:name w:val="Header Char"/>
    <w:basedOn w:val="7"/>
    <w:link w:val="4"/>
    <w:locked/>
    <w:uiPriority w:val="99"/>
    <w:rPr>
      <w:kern w:val="2"/>
      <w:sz w:val="18"/>
      <w:szCs w:val="18"/>
    </w:rPr>
  </w:style>
  <w:style w:type="character" w:customStyle="1" w:styleId="11">
    <w:name w:val="NormalCharacter"/>
    <w:semiHidden/>
    <w:uiPriority w:val="99"/>
  </w:style>
  <w:style w:type="table" w:customStyle="1" w:styleId="12">
    <w:name w:val="TableNormal"/>
    <w:semiHidden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TableGrid"/>
    <w:basedOn w:val="1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font11"/>
    <w:basedOn w:val="7"/>
    <w:uiPriority w:val="99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1186</Words>
  <Characters>1295</Characters>
  <Lines>0</Lines>
  <Paragraphs>0</Paragraphs>
  <TotalTime>30</TotalTime>
  <ScaleCrop>false</ScaleCrop>
  <LinksUpToDate>false</LinksUpToDate>
  <CharactersWithSpaces>1518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2021-03-01T01:11:00Z</dcterms:created>
  <dc:creator>TONG</dc:creator>
  <cp:lastModifiedBy>WPS_1700011626</cp:lastModifiedBy>
  <cp:lastPrinted>2023-06-05T08:05:00Z</cp:lastPrinted>
  <dcterms:modified xsi:type="dcterms:W3CDTF">2024-05-30T09:42:39Z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40E571D3D6BE4AA78B78081CF618A5DC_13</vt:lpwstr>
  </property>
  <property fmtid="{D5CDD505-2E9C-101B-9397-08002B2CF9AE}" pid="4" name="commondata">
    <vt:lpwstr>eyJoZGlkIjoiMzk0ODU0OWE5NmM1ZmY2ZWZhMzE4NWI1YzBjNmIwODIifQ==</vt:lpwstr>
  </property>
</Properties>
</file>